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B0B5" w14:textId="25A0E481" w:rsidR="00E03992" w:rsidRPr="00D1291B" w:rsidRDefault="00C06AC3" w:rsidP="00E03992">
      <w:pPr>
        <w:spacing w:after="0" w:line="240" w:lineRule="auto"/>
        <w:jc w:val="center"/>
        <w:rPr>
          <w:rFonts w:cs="Times New Roman"/>
          <w:b/>
          <w:bCs/>
        </w:rPr>
      </w:pPr>
      <w:bookmarkStart w:id="0" w:name="_GoBack"/>
      <w:bookmarkEnd w:id="0"/>
      <w:r>
        <w:rPr>
          <w:rFonts w:cs="Times New Roman"/>
          <w:b/>
          <w:bCs/>
        </w:rPr>
        <w:t>TRANSPORTO</w:t>
      </w:r>
      <w:r w:rsidR="00D1291B" w:rsidRPr="00D1291B">
        <w:rPr>
          <w:rFonts w:cs="Times New Roman"/>
          <w:b/>
          <w:bCs/>
        </w:rPr>
        <w:t xml:space="preserve"> INŽINERIJOS STUDIJŲ KRYPTIES </w:t>
      </w:r>
      <w:r w:rsidR="00E03992" w:rsidRPr="00D1291B">
        <w:rPr>
          <w:rFonts w:cs="Times New Roman"/>
          <w:b/>
          <w:bCs/>
        </w:rPr>
        <w:t>IŠORINIO VERTINIMO REKOMENDACIJŲ</w:t>
      </w:r>
      <w:r w:rsidR="00D1291B" w:rsidRPr="00D1291B">
        <w:rPr>
          <w:rFonts w:cs="Times New Roman"/>
          <w:b/>
          <w:bCs/>
        </w:rPr>
        <w:t xml:space="preserve"> VYKDYMO PLANAS</w:t>
      </w:r>
      <w:r w:rsidR="00E03992" w:rsidRPr="00D1291B">
        <w:rPr>
          <w:rFonts w:cs="Times New Roman"/>
          <w:b/>
          <w:bCs/>
        </w:rPr>
        <w:t xml:space="preserve"> </w:t>
      </w:r>
    </w:p>
    <w:p w14:paraId="083EDA03" w14:textId="2BD4021A" w:rsidR="000F069E" w:rsidRPr="000F069E" w:rsidRDefault="00BA4479" w:rsidP="00E03992">
      <w:pPr>
        <w:spacing w:after="0" w:line="240" w:lineRule="auto"/>
        <w:jc w:val="center"/>
        <w:rPr>
          <w:rFonts w:cs="Times New Roman"/>
          <w:b/>
        </w:rPr>
      </w:pPr>
      <w:r>
        <w:rPr>
          <w:rFonts w:cs="Times New Roman"/>
          <w:b/>
        </w:rPr>
        <w:t>202</w:t>
      </w:r>
      <w:r w:rsidR="00623F2F">
        <w:rPr>
          <w:rFonts w:cs="Times New Roman"/>
          <w:b/>
        </w:rPr>
        <w:t>2</w:t>
      </w:r>
      <w:r>
        <w:rPr>
          <w:rFonts w:cs="Times New Roman"/>
          <w:b/>
        </w:rPr>
        <w:t>-</w:t>
      </w:r>
      <w:r w:rsidR="00623F2F">
        <w:rPr>
          <w:rFonts w:cs="Times New Roman"/>
          <w:b/>
        </w:rPr>
        <w:t>02</w:t>
      </w:r>
      <w:r>
        <w:rPr>
          <w:rFonts w:cs="Times New Roman"/>
          <w:b/>
        </w:rPr>
        <w:t>-</w:t>
      </w:r>
      <w:r w:rsidR="00623F2F">
        <w:rPr>
          <w:rFonts w:cs="Times New Roman"/>
          <w:b/>
        </w:rPr>
        <w:t>04</w:t>
      </w:r>
    </w:p>
    <w:p w14:paraId="68E123F5" w14:textId="77777777" w:rsidR="00E03992" w:rsidRPr="000F069E" w:rsidRDefault="00E03992" w:rsidP="00E03992">
      <w:pPr>
        <w:spacing w:after="0" w:line="240" w:lineRule="auto"/>
        <w:jc w:val="center"/>
        <w:rPr>
          <w:rFonts w:cs="Times New Roman"/>
        </w:rPr>
      </w:pPr>
    </w:p>
    <w:tbl>
      <w:tblPr>
        <w:tblStyle w:val="TableGrid"/>
        <w:tblW w:w="5000" w:type="pct"/>
        <w:tblLook w:val="04A0" w:firstRow="1" w:lastRow="0" w:firstColumn="1" w:lastColumn="0" w:noHBand="0" w:noVBand="1"/>
      </w:tblPr>
      <w:tblGrid>
        <w:gridCol w:w="743"/>
        <w:gridCol w:w="4214"/>
        <w:gridCol w:w="4253"/>
        <w:gridCol w:w="2267"/>
        <w:gridCol w:w="2552"/>
        <w:gridCol w:w="1128"/>
      </w:tblGrid>
      <w:tr w:rsidR="00097A8A" w:rsidRPr="00097A8A" w14:paraId="4D7779FA" w14:textId="333A3913" w:rsidTr="003C780C">
        <w:tc>
          <w:tcPr>
            <w:tcW w:w="245" w:type="pct"/>
          </w:tcPr>
          <w:p w14:paraId="202D6178" w14:textId="1D63AA42" w:rsidR="000926E4" w:rsidRPr="00097A8A" w:rsidRDefault="00097A8A" w:rsidP="00097A8A">
            <w:pPr>
              <w:jc w:val="center"/>
              <w:rPr>
                <w:rFonts w:cs="Times New Roman"/>
                <w:b/>
              </w:rPr>
            </w:pPr>
            <w:r>
              <w:rPr>
                <w:rFonts w:cs="Times New Roman"/>
                <w:b/>
              </w:rPr>
              <w:t>Vert.</w:t>
            </w:r>
            <w:r w:rsidR="000926E4" w:rsidRPr="00097A8A">
              <w:rPr>
                <w:rFonts w:cs="Times New Roman"/>
                <w:b/>
              </w:rPr>
              <w:t xml:space="preserve"> sritis</w:t>
            </w:r>
          </w:p>
        </w:tc>
        <w:tc>
          <w:tcPr>
            <w:tcW w:w="1390" w:type="pct"/>
          </w:tcPr>
          <w:p w14:paraId="08010EEA" w14:textId="77777777" w:rsidR="000926E4" w:rsidRPr="00097A8A" w:rsidRDefault="000926E4" w:rsidP="00E03992">
            <w:pPr>
              <w:jc w:val="center"/>
              <w:rPr>
                <w:rFonts w:cs="Times New Roman"/>
                <w:b/>
              </w:rPr>
            </w:pPr>
            <w:r w:rsidRPr="00097A8A">
              <w:rPr>
                <w:rFonts w:cs="Times New Roman"/>
                <w:b/>
              </w:rPr>
              <w:t>Ekspertų rekomendacijos, pateiktos paskutinio vertinimo metu</w:t>
            </w:r>
          </w:p>
        </w:tc>
        <w:tc>
          <w:tcPr>
            <w:tcW w:w="1403" w:type="pct"/>
          </w:tcPr>
          <w:p w14:paraId="2BA5E413" w14:textId="4A45C17D" w:rsidR="000926E4" w:rsidRPr="00097A8A" w:rsidRDefault="000926E4">
            <w:pPr>
              <w:jc w:val="center"/>
              <w:rPr>
                <w:rFonts w:cs="Times New Roman"/>
                <w:b/>
              </w:rPr>
            </w:pPr>
            <w:r w:rsidRPr="00097A8A">
              <w:rPr>
                <w:rFonts w:cs="Times New Roman"/>
                <w:b/>
              </w:rPr>
              <w:t xml:space="preserve">Planuojami veiksmai </w:t>
            </w:r>
          </w:p>
        </w:tc>
        <w:tc>
          <w:tcPr>
            <w:tcW w:w="748" w:type="pct"/>
          </w:tcPr>
          <w:p w14:paraId="162B882B" w14:textId="0691BA1A" w:rsidR="000926E4" w:rsidRPr="00097A8A" w:rsidRDefault="000926E4">
            <w:pPr>
              <w:jc w:val="center"/>
              <w:rPr>
                <w:rFonts w:cs="Times New Roman"/>
                <w:b/>
              </w:rPr>
            </w:pPr>
            <w:r w:rsidRPr="00097A8A">
              <w:rPr>
                <w:rFonts w:cs="Times New Roman"/>
                <w:b/>
              </w:rPr>
              <w:t>Įgyvendinimo terminai</w:t>
            </w:r>
          </w:p>
        </w:tc>
        <w:tc>
          <w:tcPr>
            <w:tcW w:w="842" w:type="pct"/>
          </w:tcPr>
          <w:p w14:paraId="1F13963E" w14:textId="1F9D3A35" w:rsidR="000926E4" w:rsidRPr="00097A8A" w:rsidRDefault="000926E4" w:rsidP="00E03992">
            <w:pPr>
              <w:jc w:val="center"/>
              <w:rPr>
                <w:rFonts w:cs="Times New Roman"/>
                <w:b/>
              </w:rPr>
            </w:pPr>
            <w:r w:rsidRPr="00097A8A">
              <w:rPr>
                <w:rFonts w:cs="Times New Roman"/>
                <w:b/>
              </w:rPr>
              <w:t>Atsakingi asmenys/padaliniai</w:t>
            </w:r>
          </w:p>
        </w:tc>
        <w:tc>
          <w:tcPr>
            <w:tcW w:w="372" w:type="pct"/>
          </w:tcPr>
          <w:p w14:paraId="5BAC50BD" w14:textId="7BC81100" w:rsidR="000926E4" w:rsidRPr="00097A8A" w:rsidRDefault="000926E4" w:rsidP="00E03992">
            <w:pPr>
              <w:jc w:val="center"/>
              <w:rPr>
                <w:rFonts w:cs="Times New Roman"/>
                <w:b/>
              </w:rPr>
            </w:pPr>
            <w:r w:rsidRPr="00097A8A">
              <w:rPr>
                <w:rFonts w:cs="Times New Roman"/>
                <w:b/>
              </w:rPr>
              <w:t>Pastabos</w:t>
            </w:r>
          </w:p>
        </w:tc>
      </w:tr>
      <w:tr w:rsidR="00C305C6" w:rsidRPr="000F069E" w14:paraId="48A6807B" w14:textId="7CA23D65" w:rsidTr="003C780C">
        <w:tc>
          <w:tcPr>
            <w:tcW w:w="245" w:type="pct"/>
          </w:tcPr>
          <w:p w14:paraId="7B8F4129" w14:textId="77777777" w:rsidR="00C305C6" w:rsidRPr="000F069E" w:rsidRDefault="00C305C6" w:rsidP="00C305C6">
            <w:pPr>
              <w:jc w:val="center"/>
              <w:rPr>
                <w:rFonts w:cs="Times New Roman"/>
              </w:rPr>
            </w:pPr>
            <w:r w:rsidRPr="000F069E">
              <w:rPr>
                <w:rFonts w:cs="Times New Roman"/>
              </w:rPr>
              <w:t xml:space="preserve">1. </w:t>
            </w:r>
          </w:p>
        </w:tc>
        <w:tc>
          <w:tcPr>
            <w:tcW w:w="1390" w:type="pct"/>
          </w:tcPr>
          <w:p w14:paraId="41C3BDD3" w14:textId="3E50C554" w:rsidR="00C305C6" w:rsidRPr="000F069E" w:rsidRDefault="00C305C6" w:rsidP="00C305C6">
            <w:pPr>
              <w:rPr>
                <w:rFonts w:cs="Times New Roman"/>
              </w:rPr>
            </w:pPr>
            <w:r>
              <w:rPr>
                <w:rFonts w:cs="Times New Roman"/>
              </w:rPr>
              <w:t>R</w:t>
            </w:r>
            <w:r w:rsidRPr="00861F29">
              <w:rPr>
                <w:rFonts w:cs="Times New Roman"/>
              </w:rPr>
              <w:t xml:space="preserve">eikėtų tobulinti magistro baigiamųjų darbų vadovavimą </w:t>
            </w:r>
            <w:r>
              <w:rPr>
                <w:rFonts w:cs="Times New Roman"/>
              </w:rPr>
              <w:t>s</w:t>
            </w:r>
            <w:r w:rsidRPr="00861F29">
              <w:rPr>
                <w:rFonts w:cs="Times New Roman"/>
              </w:rPr>
              <w:t xml:space="preserve">iekiant užtikrinti geresnę tyrimo situacijos analizę, </w:t>
            </w:r>
            <w:r>
              <w:rPr>
                <w:rFonts w:cs="Times New Roman"/>
              </w:rPr>
              <w:t>literatūros apžvalgą ir išvadas</w:t>
            </w:r>
          </w:p>
        </w:tc>
        <w:tc>
          <w:tcPr>
            <w:tcW w:w="1403" w:type="pct"/>
          </w:tcPr>
          <w:p w14:paraId="0D563247" w14:textId="55BEAFD5" w:rsidR="00C305C6" w:rsidRPr="000F069E" w:rsidRDefault="00C305C6" w:rsidP="009442D6">
            <w:pPr>
              <w:rPr>
                <w:rFonts w:cs="Times New Roman"/>
              </w:rPr>
            </w:pPr>
            <w:r>
              <w:rPr>
                <w:rFonts w:cs="Times New Roman"/>
              </w:rPr>
              <w:t>Stiprinti dėstytojų vadovavimo atsakomybę, daugiau skiriant laiko konsultacijoms, baigiamųjų darbų tematika</w:t>
            </w:r>
            <w:r w:rsidR="009442D6">
              <w:rPr>
                <w:rFonts w:cs="Times New Roman"/>
              </w:rPr>
              <w:t>s</w:t>
            </w:r>
            <w:r>
              <w:rPr>
                <w:rFonts w:cs="Times New Roman"/>
              </w:rPr>
              <w:t xml:space="preserve"> derinti su dėstytojų vykdomais tyrimais.</w:t>
            </w:r>
          </w:p>
        </w:tc>
        <w:tc>
          <w:tcPr>
            <w:tcW w:w="748" w:type="pct"/>
          </w:tcPr>
          <w:p w14:paraId="3ED3937A" w14:textId="394B0061" w:rsidR="00C305C6" w:rsidRPr="000F069E" w:rsidRDefault="00C305C6" w:rsidP="00C305C6">
            <w:pPr>
              <w:jc w:val="center"/>
              <w:rPr>
                <w:rFonts w:cs="Times New Roman"/>
              </w:rPr>
            </w:pPr>
            <w:r>
              <w:rPr>
                <w:rFonts w:cs="Times New Roman"/>
              </w:rPr>
              <w:t>Nuolat, nuo 2021 m. rudens</w:t>
            </w:r>
          </w:p>
        </w:tc>
        <w:tc>
          <w:tcPr>
            <w:tcW w:w="842" w:type="pct"/>
          </w:tcPr>
          <w:p w14:paraId="55CD8650" w14:textId="77E16DF8" w:rsidR="00C305C6" w:rsidRPr="000F069E" w:rsidRDefault="00C305C6" w:rsidP="00C305C6">
            <w:pPr>
              <w:jc w:val="center"/>
              <w:rPr>
                <w:rFonts w:cs="Times New Roman"/>
              </w:rPr>
            </w:pPr>
            <w:r>
              <w:rPr>
                <w:rFonts w:cs="Times New Roman"/>
              </w:rPr>
              <w:t>II studijų pakopos SPK (M. Bogdevičius)</w:t>
            </w:r>
          </w:p>
        </w:tc>
        <w:tc>
          <w:tcPr>
            <w:tcW w:w="372" w:type="pct"/>
          </w:tcPr>
          <w:p w14:paraId="771A4A9E" w14:textId="77777777" w:rsidR="00C305C6" w:rsidRPr="000F069E" w:rsidRDefault="00C305C6" w:rsidP="00C305C6">
            <w:pPr>
              <w:jc w:val="center"/>
              <w:rPr>
                <w:rFonts w:cs="Times New Roman"/>
              </w:rPr>
            </w:pPr>
          </w:p>
        </w:tc>
      </w:tr>
      <w:tr w:rsidR="00C305C6" w:rsidRPr="000F069E" w14:paraId="524C69B1" w14:textId="46AD8436" w:rsidTr="003C780C">
        <w:tc>
          <w:tcPr>
            <w:tcW w:w="245" w:type="pct"/>
            <w:vMerge w:val="restart"/>
          </w:tcPr>
          <w:p w14:paraId="369BCB39" w14:textId="77777777" w:rsidR="00C305C6" w:rsidRPr="000F069E" w:rsidRDefault="00C305C6" w:rsidP="00C305C6">
            <w:pPr>
              <w:jc w:val="center"/>
              <w:rPr>
                <w:rFonts w:cs="Times New Roman"/>
              </w:rPr>
            </w:pPr>
            <w:r w:rsidRPr="000F069E">
              <w:rPr>
                <w:rFonts w:cs="Times New Roman"/>
              </w:rPr>
              <w:t>2.</w:t>
            </w:r>
          </w:p>
        </w:tc>
        <w:tc>
          <w:tcPr>
            <w:tcW w:w="1390" w:type="pct"/>
          </w:tcPr>
          <w:p w14:paraId="11D009B3" w14:textId="21919028" w:rsidR="00C305C6" w:rsidRPr="000F069E" w:rsidRDefault="00C305C6" w:rsidP="00C305C6">
            <w:pPr>
              <w:rPr>
                <w:rFonts w:cs="Times New Roman"/>
              </w:rPr>
            </w:pPr>
            <w:r w:rsidRPr="002B73F1">
              <w:rPr>
                <w:rFonts w:cs="Times New Roman"/>
              </w:rPr>
              <w:t>Peržiūrėkite tyrimams nustatytus kokybės standartus įtraukdami tyrimų rezultatų kokybės kriterijus. Tarpdalykiniai tyrimai gali padėti atlikti lyginamąją analizę to proceso metu ir yra labai rekomenduojami.</w:t>
            </w:r>
          </w:p>
        </w:tc>
        <w:tc>
          <w:tcPr>
            <w:tcW w:w="1403" w:type="pct"/>
          </w:tcPr>
          <w:p w14:paraId="56B10A94" w14:textId="7549A149" w:rsidR="00816DCA" w:rsidRDefault="00816DCA" w:rsidP="009442D6">
            <w:pPr>
              <w:rPr>
                <w:rFonts w:cs="Times New Roman"/>
              </w:rPr>
            </w:pPr>
            <w:r>
              <w:rPr>
                <w:rFonts w:cs="Times New Roman"/>
              </w:rPr>
              <w:t>Skatinti, kad magistrantų baigiamųjų darbų tematikos ir tyrimų rezultatai būtų reikšmingi ir naudingi verslo įmonėms.</w:t>
            </w:r>
          </w:p>
          <w:p w14:paraId="7510D025" w14:textId="24BD59A5" w:rsidR="00C305C6" w:rsidRPr="000F069E" w:rsidRDefault="00816DCA" w:rsidP="009442D6">
            <w:pPr>
              <w:rPr>
                <w:rFonts w:cs="Times New Roman"/>
              </w:rPr>
            </w:pPr>
            <w:r>
              <w:rPr>
                <w:rFonts w:cs="Times New Roman"/>
              </w:rPr>
              <w:t>Rekomenduoti, kad baigiamųjų darbų tyrimai būtų tarpdalykiniai.</w:t>
            </w:r>
          </w:p>
        </w:tc>
        <w:tc>
          <w:tcPr>
            <w:tcW w:w="748" w:type="pct"/>
          </w:tcPr>
          <w:p w14:paraId="210E1D85" w14:textId="5CAA04CD" w:rsidR="00C305C6" w:rsidRPr="000F069E" w:rsidRDefault="00C305C6" w:rsidP="00C305C6">
            <w:pPr>
              <w:jc w:val="center"/>
              <w:rPr>
                <w:rFonts w:cs="Times New Roman"/>
              </w:rPr>
            </w:pPr>
          </w:p>
        </w:tc>
        <w:tc>
          <w:tcPr>
            <w:tcW w:w="842" w:type="pct"/>
          </w:tcPr>
          <w:p w14:paraId="358F3762" w14:textId="05DAF3A7" w:rsidR="00C305C6" w:rsidRPr="000F069E" w:rsidRDefault="00C305C6" w:rsidP="00C305C6">
            <w:pPr>
              <w:jc w:val="center"/>
              <w:rPr>
                <w:rFonts w:cs="Times New Roman"/>
              </w:rPr>
            </w:pPr>
            <w:r>
              <w:rPr>
                <w:rFonts w:cs="Times New Roman"/>
              </w:rPr>
              <w:t>II studijų pakopos SPK (M. Bogdevičius)</w:t>
            </w:r>
          </w:p>
        </w:tc>
        <w:tc>
          <w:tcPr>
            <w:tcW w:w="372" w:type="pct"/>
          </w:tcPr>
          <w:p w14:paraId="09B5EC5A" w14:textId="77777777" w:rsidR="00C305C6" w:rsidRPr="000F069E" w:rsidRDefault="00C305C6" w:rsidP="00C305C6">
            <w:pPr>
              <w:jc w:val="center"/>
              <w:rPr>
                <w:rFonts w:cs="Times New Roman"/>
              </w:rPr>
            </w:pPr>
          </w:p>
        </w:tc>
      </w:tr>
      <w:tr w:rsidR="00C305C6" w:rsidRPr="000F069E" w14:paraId="073DBEA7" w14:textId="77777777" w:rsidTr="003C780C">
        <w:tc>
          <w:tcPr>
            <w:tcW w:w="245" w:type="pct"/>
            <w:vMerge/>
          </w:tcPr>
          <w:p w14:paraId="3B085812" w14:textId="77777777" w:rsidR="00C305C6" w:rsidRPr="000F069E" w:rsidRDefault="00C305C6" w:rsidP="00C305C6">
            <w:pPr>
              <w:jc w:val="center"/>
              <w:rPr>
                <w:rFonts w:cs="Times New Roman"/>
              </w:rPr>
            </w:pPr>
          </w:p>
        </w:tc>
        <w:tc>
          <w:tcPr>
            <w:tcW w:w="1390" w:type="pct"/>
          </w:tcPr>
          <w:p w14:paraId="4A278AF9" w14:textId="59EB3D8D" w:rsidR="00C305C6" w:rsidRPr="00861F29" w:rsidRDefault="00C305C6" w:rsidP="00C305C6">
            <w:pPr>
              <w:rPr>
                <w:rFonts w:cs="Times New Roman"/>
              </w:rPr>
            </w:pPr>
            <w:r w:rsidRPr="002B73F1">
              <w:rPr>
                <w:rFonts w:cs="Times New Roman"/>
              </w:rPr>
              <w:t>Plėsti bendradarbiavimą su studijų programai aktualiais tarptautiniu mastu pripažintais mokslininkais ir pramonės ekspertais.</w:t>
            </w:r>
          </w:p>
        </w:tc>
        <w:tc>
          <w:tcPr>
            <w:tcW w:w="1403" w:type="pct"/>
          </w:tcPr>
          <w:p w14:paraId="15D6DDF6" w14:textId="29787E3C" w:rsidR="00C305C6" w:rsidRDefault="00C305C6" w:rsidP="00441A26">
            <w:pPr>
              <w:spacing w:after="120"/>
              <w:rPr>
                <w:rFonts w:cs="Times New Roman"/>
              </w:rPr>
            </w:pPr>
            <w:r>
              <w:rPr>
                <w:rFonts w:cs="Times New Roman"/>
              </w:rPr>
              <w:t xml:space="preserve">Į </w:t>
            </w:r>
            <w:r w:rsidR="009442D6">
              <w:rPr>
                <w:rFonts w:cs="Times New Roman"/>
              </w:rPr>
              <w:t>Vidaus degimo variklių</w:t>
            </w:r>
            <w:r>
              <w:rPr>
                <w:rFonts w:cs="Times New Roman"/>
              </w:rPr>
              <w:t xml:space="preserve"> paskaitas </w:t>
            </w:r>
            <w:r w:rsidR="009442D6">
              <w:rPr>
                <w:rFonts w:cs="Times New Roman"/>
              </w:rPr>
              <w:t>bus nuolat kviečiamas</w:t>
            </w:r>
            <w:r>
              <w:rPr>
                <w:rFonts w:cs="Times New Roman"/>
              </w:rPr>
              <w:t xml:space="preserve"> prof. S. Švaja iš Čenstachavos technikos universiteto (Lenkija). Paraiška </w:t>
            </w:r>
            <w:r w:rsidR="009442D6">
              <w:rPr>
                <w:rFonts w:cs="Times New Roman"/>
              </w:rPr>
              <w:t xml:space="preserve">vizitui </w:t>
            </w:r>
            <w:r>
              <w:rPr>
                <w:rFonts w:cs="Times New Roman"/>
              </w:rPr>
              <w:t>jau užpildyta.</w:t>
            </w:r>
          </w:p>
          <w:p w14:paraId="0E8F953F" w14:textId="5BF8783C" w:rsidR="00441A26" w:rsidRDefault="00F93F2D" w:rsidP="00F93BCA">
            <w:pPr>
              <w:spacing w:after="120"/>
              <w:rPr>
                <w:rFonts w:cs="Times New Roman"/>
              </w:rPr>
            </w:pPr>
            <w:r>
              <w:rPr>
                <w:rFonts w:cs="Times New Roman"/>
              </w:rPr>
              <w:t>Dėstyti</w:t>
            </w:r>
            <w:r w:rsidR="00441A26">
              <w:rPr>
                <w:rFonts w:cs="Times New Roman"/>
              </w:rPr>
              <w:t xml:space="preserve"> </w:t>
            </w:r>
            <w:r w:rsidR="007A1405">
              <w:rPr>
                <w:rFonts w:cs="Times New Roman"/>
              </w:rPr>
              <w:t xml:space="preserve">studijų dalyką </w:t>
            </w:r>
            <w:r>
              <w:rPr>
                <w:rFonts w:cs="Times New Roman"/>
              </w:rPr>
              <w:t xml:space="preserve">„Automobilių projektavimas“ </w:t>
            </w:r>
            <w:r w:rsidR="00441A26">
              <w:rPr>
                <w:rFonts w:cs="Times New Roman"/>
              </w:rPr>
              <w:t>kviečiamas dėstytojas iš UAB „Altas Auto“, kuri turi didelę patirtį automobilių perdirbimo srityje.</w:t>
            </w:r>
          </w:p>
          <w:p w14:paraId="6A0B4387" w14:textId="710AB93E" w:rsidR="009442D6" w:rsidRPr="000F069E" w:rsidRDefault="00F93BCA" w:rsidP="009442D6">
            <w:pPr>
              <w:rPr>
                <w:rFonts w:cs="Times New Roman"/>
              </w:rPr>
            </w:pPr>
            <w:r>
              <w:rPr>
                <w:rFonts w:cs="Times New Roman"/>
              </w:rPr>
              <w:t>Paskaitų dėstymui planuojama pakviesti prof. A. Sladkovskij (Lenkija). Paraiška vizitui jau užpildyta.</w:t>
            </w:r>
          </w:p>
        </w:tc>
        <w:tc>
          <w:tcPr>
            <w:tcW w:w="748" w:type="pct"/>
          </w:tcPr>
          <w:p w14:paraId="359BF668" w14:textId="77777777" w:rsidR="00C305C6" w:rsidRDefault="00C305C6" w:rsidP="00C305C6">
            <w:pPr>
              <w:jc w:val="center"/>
              <w:rPr>
                <w:rFonts w:cs="Times New Roman"/>
              </w:rPr>
            </w:pPr>
          </w:p>
          <w:p w14:paraId="70A0D9FA" w14:textId="77777777" w:rsidR="00441A26" w:rsidRDefault="00441A26" w:rsidP="00C305C6">
            <w:pPr>
              <w:jc w:val="center"/>
              <w:rPr>
                <w:rFonts w:cs="Times New Roman"/>
              </w:rPr>
            </w:pPr>
          </w:p>
          <w:p w14:paraId="0ECBBC85" w14:textId="77777777" w:rsidR="00441A26" w:rsidRDefault="00441A26" w:rsidP="00C305C6">
            <w:pPr>
              <w:jc w:val="center"/>
              <w:rPr>
                <w:rFonts w:cs="Times New Roman"/>
              </w:rPr>
            </w:pPr>
          </w:p>
          <w:p w14:paraId="1ABF6A22" w14:textId="77777777" w:rsidR="00441A26" w:rsidRDefault="00441A26" w:rsidP="00441A26">
            <w:pPr>
              <w:spacing w:after="120"/>
              <w:rPr>
                <w:rFonts w:cs="Times New Roman"/>
              </w:rPr>
            </w:pPr>
          </w:p>
          <w:p w14:paraId="4D2A8069" w14:textId="122EE583" w:rsidR="00441A26" w:rsidRPr="000F069E" w:rsidRDefault="00F93F2D" w:rsidP="00C305C6">
            <w:pPr>
              <w:jc w:val="center"/>
              <w:rPr>
                <w:rFonts w:cs="Times New Roman"/>
              </w:rPr>
            </w:pPr>
            <w:r>
              <w:rPr>
                <w:rFonts w:cs="Times New Roman"/>
              </w:rPr>
              <w:t>Nuo 2022 m. pavasario sem.</w:t>
            </w:r>
          </w:p>
        </w:tc>
        <w:tc>
          <w:tcPr>
            <w:tcW w:w="842" w:type="pct"/>
          </w:tcPr>
          <w:p w14:paraId="0A5E04F6" w14:textId="77777777" w:rsidR="005F3F23" w:rsidRDefault="005F3F23" w:rsidP="005F3F23">
            <w:pPr>
              <w:jc w:val="center"/>
              <w:rPr>
                <w:rFonts w:cs="Times New Roman"/>
              </w:rPr>
            </w:pPr>
            <w:r>
              <w:rPr>
                <w:rFonts w:cs="Times New Roman"/>
              </w:rPr>
              <w:t>I studijų pakopos SPK (S. Pukalskas)</w:t>
            </w:r>
          </w:p>
          <w:p w14:paraId="728D2B56" w14:textId="53F0FA0D" w:rsidR="00C305C6" w:rsidRPr="000F069E" w:rsidRDefault="005F3F23" w:rsidP="005F3F23">
            <w:pPr>
              <w:spacing w:before="120"/>
              <w:jc w:val="center"/>
              <w:rPr>
                <w:rFonts w:cs="Times New Roman"/>
              </w:rPr>
            </w:pPr>
            <w:r>
              <w:rPr>
                <w:rFonts w:cs="Times New Roman"/>
              </w:rPr>
              <w:t>II studijų pakopos SPK (M. Bogdevičius)</w:t>
            </w:r>
          </w:p>
        </w:tc>
        <w:tc>
          <w:tcPr>
            <w:tcW w:w="372" w:type="pct"/>
          </w:tcPr>
          <w:p w14:paraId="2CC4715D" w14:textId="77777777" w:rsidR="00C305C6" w:rsidRPr="000F069E" w:rsidRDefault="00C305C6" w:rsidP="00C305C6">
            <w:pPr>
              <w:jc w:val="center"/>
              <w:rPr>
                <w:rFonts w:cs="Times New Roman"/>
              </w:rPr>
            </w:pPr>
          </w:p>
        </w:tc>
      </w:tr>
      <w:tr w:rsidR="00C305C6" w:rsidRPr="000F069E" w14:paraId="3A3FC728" w14:textId="77777777" w:rsidTr="003C780C">
        <w:tc>
          <w:tcPr>
            <w:tcW w:w="245" w:type="pct"/>
            <w:vMerge/>
          </w:tcPr>
          <w:p w14:paraId="354CFB05" w14:textId="77777777" w:rsidR="00C305C6" w:rsidRPr="000F069E" w:rsidRDefault="00C305C6" w:rsidP="00C305C6">
            <w:pPr>
              <w:jc w:val="center"/>
              <w:rPr>
                <w:rFonts w:cs="Times New Roman"/>
              </w:rPr>
            </w:pPr>
          </w:p>
        </w:tc>
        <w:tc>
          <w:tcPr>
            <w:tcW w:w="1390" w:type="pct"/>
          </w:tcPr>
          <w:p w14:paraId="6546C68E" w14:textId="6E40D848" w:rsidR="00C305C6" w:rsidRPr="00861F29" w:rsidRDefault="00C305C6" w:rsidP="00C305C6">
            <w:pPr>
              <w:rPr>
                <w:rFonts w:cs="Times New Roman"/>
              </w:rPr>
            </w:pPr>
            <w:r w:rsidRPr="002B73F1">
              <w:rPr>
                <w:rFonts w:cs="Times New Roman"/>
              </w:rPr>
              <w:t>Būtina didinti studentų, dalyvaujančių moksliniuose projektuose ir kitose studentų tiriamųjų gebėjimų ugdymo veiklose, skaičių.</w:t>
            </w:r>
          </w:p>
        </w:tc>
        <w:tc>
          <w:tcPr>
            <w:tcW w:w="1403" w:type="pct"/>
          </w:tcPr>
          <w:p w14:paraId="673C2A52" w14:textId="11D7EF38" w:rsidR="00E352CE" w:rsidRPr="000F069E" w:rsidRDefault="00C305C6" w:rsidP="009442D6">
            <w:pPr>
              <w:rPr>
                <w:rFonts w:cs="Times New Roman"/>
              </w:rPr>
            </w:pPr>
            <w:r>
              <w:rPr>
                <w:rFonts w:cs="Times New Roman"/>
              </w:rPr>
              <w:t>Skatinti dėstytojus siūlyti temas LMT studentiškiems projektams ir/arba universiteto projektui</w:t>
            </w:r>
            <w:r w:rsidR="00816DCA">
              <w:rPr>
                <w:rFonts w:cs="Times New Roman"/>
              </w:rPr>
              <w:t xml:space="preserve"> bei aktyvinti techninių būrelių veiklas.</w:t>
            </w:r>
          </w:p>
        </w:tc>
        <w:tc>
          <w:tcPr>
            <w:tcW w:w="748" w:type="pct"/>
          </w:tcPr>
          <w:p w14:paraId="0A308BD8" w14:textId="77777777" w:rsidR="00C305C6" w:rsidRPr="000F069E" w:rsidRDefault="00C305C6" w:rsidP="00C305C6">
            <w:pPr>
              <w:jc w:val="center"/>
              <w:rPr>
                <w:rFonts w:cs="Times New Roman"/>
              </w:rPr>
            </w:pPr>
          </w:p>
        </w:tc>
        <w:tc>
          <w:tcPr>
            <w:tcW w:w="842" w:type="pct"/>
          </w:tcPr>
          <w:p w14:paraId="392EC6F3" w14:textId="77777777" w:rsidR="005F3F23" w:rsidRDefault="005F3F23" w:rsidP="00C305C6">
            <w:pPr>
              <w:jc w:val="center"/>
              <w:rPr>
                <w:rFonts w:cs="Times New Roman"/>
              </w:rPr>
            </w:pPr>
            <w:r>
              <w:rPr>
                <w:rFonts w:cs="Times New Roman"/>
              </w:rPr>
              <w:t>I studijų pakopos SPK (S. Pukalskas)</w:t>
            </w:r>
          </w:p>
          <w:p w14:paraId="0371A135" w14:textId="507AA0F7" w:rsidR="00C305C6" w:rsidRPr="000F069E" w:rsidRDefault="00C305C6" w:rsidP="005F3F23">
            <w:pPr>
              <w:spacing w:before="120"/>
              <w:jc w:val="center"/>
              <w:rPr>
                <w:rFonts w:cs="Times New Roman"/>
              </w:rPr>
            </w:pPr>
            <w:r>
              <w:rPr>
                <w:rFonts w:cs="Times New Roman"/>
              </w:rPr>
              <w:t>II studijų pakopos SPK (M. Bogdevičius)</w:t>
            </w:r>
          </w:p>
        </w:tc>
        <w:tc>
          <w:tcPr>
            <w:tcW w:w="372" w:type="pct"/>
          </w:tcPr>
          <w:p w14:paraId="39422986" w14:textId="77777777" w:rsidR="00C305C6" w:rsidRPr="000F069E" w:rsidRDefault="00C305C6" w:rsidP="00C305C6">
            <w:pPr>
              <w:jc w:val="center"/>
              <w:rPr>
                <w:rFonts w:cs="Times New Roman"/>
              </w:rPr>
            </w:pPr>
          </w:p>
        </w:tc>
      </w:tr>
      <w:tr w:rsidR="00C305C6" w:rsidRPr="000F069E" w14:paraId="22E009DD" w14:textId="77777777" w:rsidTr="003C780C">
        <w:tc>
          <w:tcPr>
            <w:tcW w:w="245" w:type="pct"/>
            <w:vMerge/>
          </w:tcPr>
          <w:p w14:paraId="75C26ED3" w14:textId="77777777" w:rsidR="00C305C6" w:rsidRPr="000F069E" w:rsidRDefault="00C305C6" w:rsidP="00C305C6">
            <w:pPr>
              <w:jc w:val="center"/>
              <w:rPr>
                <w:rFonts w:cs="Times New Roman"/>
              </w:rPr>
            </w:pPr>
          </w:p>
        </w:tc>
        <w:tc>
          <w:tcPr>
            <w:tcW w:w="1390" w:type="pct"/>
          </w:tcPr>
          <w:p w14:paraId="3F228259" w14:textId="18B57624" w:rsidR="00C305C6" w:rsidRPr="00861F29" w:rsidRDefault="00C305C6" w:rsidP="00C305C6">
            <w:pPr>
              <w:rPr>
                <w:rFonts w:cs="Times New Roman"/>
              </w:rPr>
            </w:pPr>
            <w:r w:rsidRPr="00861F29">
              <w:rPr>
                <w:rFonts w:cs="Times New Roman"/>
              </w:rPr>
              <w:t>I pakopos programoje turėtų būti pabrėžiamas tyrimo metodų vaidmuo</w:t>
            </w:r>
          </w:p>
        </w:tc>
        <w:tc>
          <w:tcPr>
            <w:tcW w:w="1403" w:type="pct"/>
          </w:tcPr>
          <w:p w14:paraId="368E7862" w14:textId="694CF9E3" w:rsidR="00C305C6" w:rsidRDefault="00C305C6" w:rsidP="00C305C6">
            <w:pPr>
              <w:rPr>
                <w:rFonts w:cs="Times New Roman"/>
              </w:rPr>
            </w:pPr>
            <w:r>
              <w:rPr>
                <w:rFonts w:cs="Times New Roman"/>
              </w:rPr>
              <w:t>Pradedama akcentuoti tyrimo metodų vaidmuo I pakopos studijose. 2021-2022 m. I pakopos BD pateiktos temos:</w:t>
            </w:r>
          </w:p>
          <w:p w14:paraId="5CBD360D" w14:textId="77777777" w:rsidR="00C305C6" w:rsidRDefault="00C305C6" w:rsidP="00C305C6">
            <w:pPr>
              <w:pStyle w:val="ListParagraph"/>
              <w:numPr>
                <w:ilvl w:val="0"/>
                <w:numId w:val="17"/>
              </w:numPr>
              <w:ind w:left="176" w:hanging="284"/>
              <w:rPr>
                <w:rFonts w:cs="Times New Roman"/>
              </w:rPr>
            </w:pPr>
            <w:r w:rsidRPr="00AC75BA">
              <w:rPr>
                <w:rFonts w:cs="Times New Roman"/>
              </w:rPr>
              <w:t>Automobilio pritaikymo valdyti per nuotolį galimybių tyrimas</w:t>
            </w:r>
          </w:p>
          <w:p w14:paraId="2016D63E" w14:textId="77777777" w:rsidR="00C305C6" w:rsidRDefault="00C305C6" w:rsidP="00C305C6">
            <w:pPr>
              <w:pStyle w:val="ListParagraph"/>
              <w:numPr>
                <w:ilvl w:val="0"/>
                <w:numId w:val="17"/>
              </w:numPr>
              <w:ind w:left="176" w:hanging="284"/>
              <w:rPr>
                <w:rFonts w:cs="Times New Roman"/>
              </w:rPr>
            </w:pPr>
            <w:r w:rsidRPr="00AC75BA">
              <w:rPr>
                <w:rFonts w:cs="Times New Roman"/>
              </w:rPr>
              <w:t>Eismo pralaidumo gerinimo galimybės (pasirinktoje sankryžoje)</w:t>
            </w:r>
          </w:p>
          <w:p w14:paraId="74D35953" w14:textId="77777777" w:rsidR="00C305C6" w:rsidRDefault="00C305C6" w:rsidP="00C305C6">
            <w:pPr>
              <w:pStyle w:val="ListParagraph"/>
              <w:numPr>
                <w:ilvl w:val="0"/>
                <w:numId w:val="17"/>
              </w:numPr>
              <w:ind w:left="176" w:hanging="284"/>
              <w:rPr>
                <w:rFonts w:cs="Times New Roman"/>
              </w:rPr>
            </w:pPr>
            <w:r w:rsidRPr="00AC75BA">
              <w:rPr>
                <w:rFonts w:cs="Times New Roman"/>
              </w:rPr>
              <w:t>Hibridinio automobilio vidaus degimo variklio galios didinimas ir ekologinių rodiklių pokyčio tyrimas</w:t>
            </w:r>
          </w:p>
          <w:p w14:paraId="5D29FCD5" w14:textId="77777777" w:rsidR="00C305C6" w:rsidRDefault="00C305C6" w:rsidP="00C305C6">
            <w:pPr>
              <w:pStyle w:val="ListParagraph"/>
              <w:numPr>
                <w:ilvl w:val="0"/>
                <w:numId w:val="17"/>
              </w:numPr>
              <w:ind w:left="176" w:hanging="284"/>
              <w:rPr>
                <w:rFonts w:cs="Times New Roman"/>
              </w:rPr>
            </w:pPr>
            <w:r w:rsidRPr="00AC75BA">
              <w:rPr>
                <w:rFonts w:cs="Times New Roman"/>
              </w:rPr>
              <w:t>Kibirkštinio uždegimo variklio galios ir ekologinių rodiklių pokyčio tyrimas keičiant pripūtimo slėgį</w:t>
            </w:r>
          </w:p>
          <w:p w14:paraId="29EF672D" w14:textId="7F7EC084" w:rsidR="00C305C6" w:rsidRPr="00AC75BA" w:rsidRDefault="00C305C6" w:rsidP="008851DE">
            <w:pPr>
              <w:pStyle w:val="ListParagraph"/>
              <w:numPr>
                <w:ilvl w:val="0"/>
                <w:numId w:val="17"/>
              </w:numPr>
              <w:ind w:left="176" w:hanging="284"/>
              <w:rPr>
                <w:rFonts w:cs="Times New Roman"/>
              </w:rPr>
            </w:pPr>
            <w:r w:rsidRPr="00AC75BA">
              <w:rPr>
                <w:rFonts w:cs="Times New Roman"/>
              </w:rPr>
              <w:t>N1 klasės transporto priemonių remonto proceso optimizavimas taikant LEAN sistemą</w:t>
            </w:r>
          </w:p>
        </w:tc>
        <w:tc>
          <w:tcPr>
            <w:tcW w:w="748" w:type="pct"/>
          </w:tcPr>
          <w:p w14:paraId="6055F0D4" w14:textId="7484D42E" w:rsidR="00C305C6" w:rsidRPr="000F069E" w:rsidRDefault="00C305C6" w:rsidP="00C305C6">
            <w:pPr>
              <w:jc w:val="center"/>
              <w:rPr>
                <w:rFonts w:cs="Times New Roman"/>
              </w:rPr>
            </w:pPr>
            <w:r>
              <w:rPr>
                <w:rFonts w:cs="Times New Roman"/>
              </w:rPr>
              <w:t>Nuolat, nuo 2021 m. rudens</w:t>
            </w:r>
          </w:p>
        </w:tc>
        <w:tc>
          <w:tcPr>
            <w:tcW w:w="842" w:type="pct"/>
          </w:tcPr>
          <w:p w14:paraId="5C04D9CB" w14:textId="07BF4303" w:rsidR="00C305C6" w:rsidRPr="000F069E" w:rsidRDefault="00C305C6" w:rsidP="00C305C6">
            <w:pPr>
              <w:jc w:val="center"/>
              <w:rPr>
                <w:rFonts w:cs="Times New Roman"/>
              </w:rPr>
            </w:pPr>
            <w:r>
              <w:rPr>
                <w:rFonts w:cs="Times New Roman"/>
              </w:rPr>
              <w:t>I studijų pakopos SPK (S. Pukalskas)</w:t>
            </w:r>
          </w:p>
        </w:tc>
        <w:tc>
          <w:tcPr>
            <w:tcW w:w="372" w:type="pct"/>
          </w:tcPr>
          <w:p w14:paraId="41242659" w14:textId="77777777" w:rsidR="00C305C6" w:rsidRPr="000F069E" w:rsidRDefault="00C305C6" w:rsidP="00C305C6">
            <w:pPr>
              <w:jc w:val="center"/>
              <w:rPr>
                <w:rFonts w:cs="Times New Roman"/>
              </w:rPr>
            </w:pPr>
          </w:p>
        </w:tc>
      </w:tr>
      <w:tr w:rsidR="00C305C6" w:rsidRPr="000F069E" w14:paraId="17ACD024" w14:textId="2338FF48" w:rsidTr="003C780C">
        <w:tc>
          <w:tcPr>
            <w:tcW w:w="245" w:type="pct"/>
            <w:vMerge w:val="restart"/>
          </w:tcPr>
          <w:p w14:paraId="587F82E4" w14:textId="77777777" w:rsidR="00C305C6" w:rsidRPr="000F069E" w:rsidRDefault="00C305C6" w:rsidP="00C305C6">
            <w:pPr>
              <w:jc w:val="center"/>
              <w:rPr>
                <w:rFonts w:cs="Times New Roman"/>
              </w:rPr>
            </w:pPr>
            <w:r w:rsidRPr="000F069E">
              <w:rPr>
                <w:rFonts w:cs="Times New Roman"/>
              </w:rPr>
              <w:t>3.</w:t>
            </w:r>
          </w:p>
        </w:tc>
        <w:tc>
          <w:tcPr>
            <w:tcW w:w="1390" w:type="pct"/>
            <w:shd w:val="clear" w:color="auto" w:fill="FFFF00"/>
          </w:tcPr>
          <w:p w14:paraId="2ECD4BA2" w14:textId="68D3C0B5" w:rsidR="00C305C6" w:rsidRPr="000F069E" w:rsidRDefault="00C305C6" w:rsidP="00C305C6">
            <w:pPr>
              <w:rPr>
                <w:rFonts w:cs="Times New Roman"/>
              </w:rPr>
            </w:pPr>
            <w:r w:rsidRPr="002B73F1">
              <w:rPr>
                <w:rFonts w:cs="Times New Roman"/>
              </w:rPr>
              <w:t xml:space="preserve">Norint pritraukti tarptautinius studentus, būtų naudinga turėti informaciją apie priėmimą ir anglų kalba, pageidautina lengvai pasiekiamą </w:t>
            </w:r>
            <w:r>
              <w:rPr>
                <w:rFonts w:cs="Times New Roman"/>
              </w:rPr>
              <w:t xml:space="preserve">interneto </w:t>
            </w:r>
            <w:r w:rsidRPr="002B73F1">
              <w:rPr>
                <w:rFonts w:cs="Times New Roman"/>
              </w:rPr>
              <w:t>svetainėje, ypač toms programoms, kur</w:t>
            </w:r>
            <w:r>
              <w:rPr>
                <w:rFonts w:cs="Times New Roman"/>
              </w:rPr>
              <w:t>iose pilnai dėstoma anglų kalba.</w:t>
            </w:r>
          </w:p>
        </w:tc>
        <w:tc>
          <w:tcPr>
            <w:tcW w:w="1403" w:type="pct"/>
            <w:shd w:val="clear" w:color="auto" w:fill="FFFF00"/>
          </w:tcPr>
          <w:p w14:paraId="14DB416C" w14:textId="2824D481" w:rsidR="00C305C6" w:rsidRPr="000F069E" w:rsidRDefault="00C305C6" w:rsidP="00C305C6">
            <w:pPr>
              <w:jc w:val="center"/>
              <w:rPr>
                <w:rFonts w:cs="Times New Roman"/>
              </w:rPr>
            </w:pPr>
          </w:p>
        </w:tc>
        <w:tc>
          <w:tcPr>
            <w:tcW w:w="748" w:type="pct"/>
            <w:shd w:val="clear" w:color="auto" w:fill="FFFF00"/>
          </w:tcPr>
          <w:p w14:paraId="3A698F39" w14:textId="0C8D69E9" w:rsidR="00C305C6" w:rsidRPr="000F069E" w:rsidRDefault="00C305C6" w:rsidP="00C305C6">
            <w:pPr>
              <w:jc w:val="center"/>
              <w:rPr>
                <w:rFonts w:cs="Times New Roman"/>
              </w:rPr>
            </w:pPr>
          </w:p>
        </w:tc>
        <w:tc>
          <w:tcPr>
            <w:tcW w:w="842" w:type="pct"/>
            <w:shd w:val="clear" w:color="auto" w:fill="FFFF00"/>
          </w:tcPr>
          <w:p w14:paraId="60C30ECF" w14:textId="77777777" w:rsidR="00C305C6" w:rsidRDefault="00C305C6" w:rsidP="00C305C6">
            <w:pPr>
              <w:jc w:val="center"/>
              <w:rPr>
                <w:rFonts w:cs="Times New Roman"/>
              </w:rPr>
            </w:pPr>
            <w:r>
              <w:rPr>
                <w:rFonts w:cs="Times New Roman"/>
              </w:rPr>
              <w:t>Studijų direkcija</w:t>
            </w:r>
          </w:p>
          <w:p w14:paraId="7EA84004" w14:textId="04C522C8" w:rsidR="00C305C6" w:rsidRPr="000F069E" w:rsidRDefault="00C305C6" w:rsidP="00C305C6">
            <w:pPr>
              <w:spacing w:before="120"/>
              <w:jc w:val="center"/>
              <w:rPr>
                <w:rFonts w:cs="Times New Roman"/>
              </w:rPr>
            </w:pPr>
            <w:r>
              <w:rPr>
                <w:rFonts w:cs="Times New Roman"/>
              </w:rPr>
              <w:t>TSC (Dovilė Juodinytė)</w:t>
            </w:r>
          </w:p>
        </w:tc>
        <w:tc>
          <w:tcPr>
            <w:tcW w:w="372" w:type="pct"/>
          </w:tcPr>
          <w:p w14:paraId="5CA624AD" w14:textId="77777777" w:rsidR="00C305C6" w:rsidRPr="000F069E" w:rsidRDefault="00C305C6" w:rsidP="00C305C6">
            <w:pPr>
              <w:jc w:val="center"/>
              <w:rPr>
                <w:rFonts w:cs="Times New Roman"/>
              </w:rPr>
            </w:pPr>
          </w:p>
        </w:tc>
      </w:tr>
      <w:tr w:rsidR="00C305C6" w:rsidRPr="000F069E" w14:paraId="01F03AB2" w14:textId="77777777" w:rsidTr="003C780C">
        <w:tc>
          <w:tcPr>
            <w:tcW w:w="245" w:type="pct"/>
            <w:vMerge/>
          </w:tcPr>
          <w:p w14:paraId="1B89718B" w14:textId="77777777" w:rsidR="00C305C6" w:rsidRPr="000F069E" w:rsidRDefault="00C305C6" w:rsidP="00C305C6">
            <w:pPr>
              <w:jc w:val="center"/>
              <w:rPr>
                <w:rFonts w:cs="Times New Roman"/>
              </w:rPr>
            </w:pPr>
          </w:p>
        </w:tc>
        <w:tc>
          <w:tcPr>
            <w:tcW w:w="1390" w:type="pct"/>
          </w:tcPr>
          <w:p w14:paraId="02D599FF" w14:textId="2B5A4F3D" w:rsidR="00C305C6" w:rsidRPr="000F069E" w:rsidRDefault="00C305C6" w:rsidP="00C305C6">
            <w:pPr>
              <w:rPr>
                <w:rFonts w:cs="Times New Roman"/>
              </w:rPr>
            </w:pPr>
            <w:r w:rsidRPr="003939C4">
              <w:rPr>
                <w:rFonts w:cs="Times New Roman"/>
              </w:rPr>
              <w:t xml:space="preserve">Reikėtų dėti pastangas didinti tarptautinių mobilumo programų žinomumą ir patrauklumą, kad būtų užtikrintas kiekvieno </w:t>
            </w:r>
            <w:r w:rsidRPr="003939C4">
              <w:rPr>
                <w:rFonts w:cs="Times New Roman"/>
              </w:rPr>
              <w:lastRenderedPageBreak/>
              <w:t>studento, kuris norėtų įgyti tokio pobūdžio patirties, dalyvavimas;</w:t>
            </w:r>
          </w:p>
        </w:tc>
        <w:tc>
          <w:tcPr>
            <w:tcW w:w="1403" w:type="pct"/>
          </w:tcPr>
          <w:p w14:paraId="2F80671E" w14:textId="3CAC92A5" w:rsidR="00C305C6" w:rsidRPr="00494BF0" w:rsidRDefault="00C305C6" w:rsidP="008851DE">
            <w:pPr>
              <w:spacing w:after="120"/>
              <w:rPr>
                <w:rFonts w:cs="Times New Roman"/>
              </w:rPr>
            </w:pPr>
            <w:r w:rsidRPr="00494BF0">
              <w:rPr>
                <w:rFonts w:cs="Times New Roman"/>
              </w:rPr>
              <w:lastRenderedPageBreak/>
              <w:t xml:space="preserve">1. Planuojama rengti fakulteto Tarptautinę dieną, į kurią kviesti partnerinių užsienio </w:t>
            </w:r>
            <w:r w:rsidRPr="00494BF0">
              <w:rPr>
                <w:rFonts w:cs="Times New Roman"/>
              </w:rPr>
              <w:lastRenderedPageBreak/>
              <w:t>universitetų atstovus pristatyti studijų galimybes.</w:t>
            </w:r>
          </w:p>
          <w:p w14:paraId="57817D77" w14:textId="6C00C875" w:rsidR="00C305C6" w:rsidRPr="00494BF0" w:rsidRDefault="00C305C6" w:rsidP="008851DE">
            <w:pPr>
              <w:rPr>
                <w:rFonts w:cs="Times New Roman"/>
              </w:rPr>
            </w:pPr>
            <w:r w:rsidRPr="00494BF0">
              <w:rPr>
                <w:rFonts w:cs="Times New Roman"/>
              </w:rPr>
              <w:t>2. Plėsti informacijos pateikimą apie tarptautinio mobilumo galimybes per socialinius tinklus, rengti informacinius susitikimus su studentais.</w:t>
            </w:r>
          </w:p>
        </w:tc>
        <w:tc>
          <w:tcPr>
            <w:tcW w:w="748" w:type="pct"/>
          </w:tcPr>
          <w:p w14:paraId="7517132E" w14:textId="77777777" w:rsidR="00C305C6" w:rsidRPr="00494BF0" w:rsidRDefault="00C305C6" w:rsidP="00C305C6">
            <w:pPr>
              <w:jc w:val="center"/>
              <w:rPr>
                <w:rFonts w:cs="Times New Roman"/>
              </w:rPr>
            </w:pPr>
            <w:r w:rsidRPr="00494BF0">
              <w:rPr>
                <w:rFonts w:cs="Times New Roman"/>
              </w:rPr>
              <w:lastRenderedPageBreak/>
              <w:t xml:space="preserve">1. Kasmet pavasarį prieš Erasmus+ </w:t>
            </w:r>
            <w:r w:rsidRPr="00494BF0">
              <w:rPr>
                <w:rFonts w:cs="Times New Roman"/>
              </w:rPr>
              <w:lastRenderedPageBreak/>
              <w:t xml:space="preserve">atranką, pradedant nuo 2022 m. pavasario </w:t>
            </w:r>
          </w:p>
          <w:p w14:paraId="1DB7100F" w14:textId="1147D475" w:rsidR="00C305C6" w:rsidRPr="00494BF0" w:rsidRDefault="00C305C6" w:rsidP="00C305C6">
            <w:pPr>
              <w:jc w:val="center"/>
              <w:rPr>
                <w:rFonts w:cs="Times New Roman"/>
              </w:rPr>
            </w:pPr>
            <w:r w:rsidRPr="00494BF0">
              <w:rPr>
                <w:rFonts w:cs="Times New Roman"/>
              </w:rPr>
              <w:t>2. Kiekvieną semestrą prieš Erasmus+ atranką, pradedant nuo 2022 m. pavasario</w:t>
            </w:r>
          </w:p>
        </w:tc>
        <w:tc>
          <w:tcPr>
            <w:tcW w:w="842" w:type="pct"/>
          </w:tcPr>
          <w:p w14:paraId="40C277AB" w14:textId="77777777" w:rsidR="00C305C6" w:rsidRDefault="00C305C6" w:rsidP="00C305C6">
            <w:pPr>
              <w:jc w:val="center"/>
              <w:rPr>
                <w:rFonts w:cs="Times New Roman"/>
              </w:rPr>
            </w:pPr>
            <w:r>
              <w:rPr>
                <w:rFonts w:cs="Times New Roman"/>
              </w:rPr>
              <w:lastRenderedPageBreak/>
              <w:t xml:space="preserve">TIF prodekanas E. Sokolovskij, </w:t>
            </w:r>
          </w:p>
          <w:p w14:paraId="433D57F2" w14:textId="2363A520" w:rsidR="00C305C6" w:rsidRDefault="00C305C6" w:rsidP="00C305C6">
            <w:pPr>
              <w:jc w:val="center"/>
              <w:rPr>
                <w:rFonts w:cs="Times New Roman"/>
              </w:rPr>
            </w:pPr>
            <w:r>
              <w:rPr>
                <w:rFonts w:cs="Times New Roman"/>
              </w:rPr>
              <w:t xml:space="preserve">R. Labanauskis, </w:t>
            </w:r>
          </w:p>
          <w:p w14:paraId="12EFC10E" w14:textId="65F00003" w:rsidR="00C305C6" w:rsidRPr="000F069E" w:rsidRDefault="00C305C6" w:rsidP="00C305C6">
            <w:pPr>
              <w:jc w:val="center"/>
              <w:rPr>
                <w:rFonts w:cs="Times New Roman"/>
              </w:rPr>
            </w:pPr>
            <w:r>
              <w:rPr>
                <w:rFonts w:cs="Times New Roman"/>
              </w:rPr>
              <w:lastRenderedPageBreak/>
              <w:t>Praktikų koordinatoriai</w:t>
            </w:r>
          </w:p>
        </w:tc>
        <w:tc>
          <w:tcPr>
            <w:tcW w:w="372" w:type="pct"/>
          </w:tcPr>
          <w:p w14:paraId="12CDF301" w14:textId="77777777" w:rsidR="00C305C6" w:rsidRPr="000F069E" w:rsidRDefault="00C305C6" w:rsidP="00C305C6">
            <w:pPr>
              <w:jc w:val="center"/>
              <w:rPr>
                <w:rFonts w:cs="Times New Roman"/>
              </w:rPr>
            </w:pPr>
          </w:p>
        </w:tc>
      </w:tr>
      <w:tr w:rsidR="00C305C6" w:rsidRPr="000F069E" w14:paraId="2858D5D3" w14:textId="77777777" w:rsidTr="003C780C">
        <w:tc>
          <w:tcPr>
            <w:tcW w:w="245" w:type="pct"/>
            <w:vMerge/>
          </w:tcPr>
          <w:p w14:paraId="083540C8" w14:textId="77777777" w:rsidR="00C305C6" w:rsidRPr="000F069E" w:rsidRDefault="00C305C6" w:rsidP="00C305C6">
            <w:pPr>
              <w:jc w:val="center"/>
              <w:rPr>
                <w:rFonts w:cs="Times New Roman"/>
              </w:rPr>
            </w:pPr>
          </w:p>
        </w:tc>
        <w:tc>
          <w:tcPr>
            <w:tcW w:w="1390" w:type="pct"/>
          </w:tcPr>
          <w:p w14:paraId="7E02E336" w14:textId="3277D564" w:rsidR="00C305C6" w:rsidRPr="000F069E" w:rsidRDefault="00C305C6" w:rsidP="00DA7B8F">
            <w:pPr>
              <w:rPr>
                <w:rFonts w:cs="Times New Roman"/>
              </w:rPr>
            </w:pPr>
            <w:r w:rsidRPr="00FD1B8A">
              <w:rPr>
                <w:rFonts w:cs="Times New Roman"/>
              </w:rPr>
              <w:t xml:space="preserve">Manoma, kad studentų konsultavimo ir pagalbos procesų efektyvumo </w:t>
            </w:r>
            <w:r w:rsidR="00DA7B8F">
              <w:rPr>
                <w:rFonts w:cs="Times New Roman"/>
              </w:rPr>
              <w:t>stebėjim</w:t>
            </w:r>
            <w:r w:rsidRPr="00DA7B8F">
              <w:rPr>
                <w:rFonts w:cs="Times New Roman"/>
              </w:rPr>
              <w:t>as</w:t>
            </w:r>
            <w:r w:rsidRPr="00FD1B8A">
              <w:rPr>
                <w:rFonts w:cs="Times New Roman"/>
              </w:rPr>
              <w:t xml:space="preserve"> padėtų tobulinti tas paslaugas, kurios gal</w:t>
            </w:r>
            <w:r>
              <w:rPr>
                <w:rFonts w:cs="Times New Roman"/>
              </w:rPr>
              <w:t>i neveikti reikiamai kokybiškai.</w:t>
            </w:r>
          </w:p>
        </w:tc>
        <w:tc>
          <w:tcPr>
            <w:tcW w:w="1403" w:type="pct"/>
          </w:tcPr>
          <w:p w14:paraId="4FD3956A" w14:textId="4B169C02" w:rsidR="00C305C6" w:rsidRPr="000F069E" w:rsidRDefault="00C305C6" w:rsidP="00DA7B8F">
            <w:pPr>
              <w:rPr>
                <w:rFonts w:cs="Times New Roman"/>
              </w:rPr>
            </w:pPr>
            <w:r>
              <w:rPr>
                <w:rFonts w:cs="Times New Roman"/>
              </w:rPr>
              <w:t xml:space="preserve">Fakultete </w:t>
            </w:r>
            <w:r w:rsidR="00DA7B8F">
              <w:rPr>
                <w:rFonts w:cs="Times New Roman"/>
              </w:rPr>
              <w:t xml:space="preserve">planuojama ekspertų pareikštas pastabas dėl studijų krypties studijų tobulinimo apsvarstyti su </w:t>
            </w:r>
            <w:r w:rsidR="00DF240B">
              <w:rPr>
                <w:rFonts w:cs="Times New Roman"/>
              </w:rPr>
              <w:t>studentų</w:t>
            </w:r>
            <w:r w:rsidR="00DA7B8F">
              <w:rPr>
                <w:rFonts w:cs="Times New Roman"/>
              </w:rPr>
              <w:t xml:space="preserve"> atstovais.</w:t>
            </w:r>
          </w:p>
        </w:tc>
        <w:tc>
          <w:tcPr>
            <w:tcW w:w="748" w:type="pct"/>
          </w:tcPr>
          <w:p w14:paraId="0317D4A9" w14:textId="3C335E3A" w:rsidR="00C305C6" w:rsidRPr="000F069E" w:rsidRDefault="00DF240B" w:rsidP="00C305C6">
            <w:pPr>
              <w:jc w:val="center"/>
              <w:rPr>
                <w:rFonts w:cs="Times New Roman"/>
              </w:rPr>
            </w:pPr>
            <w:r>
              <w:rPr>
                <w:rFonts w:cs="Times New Roman"/>
              </w:rPr>
              <w:t>2022 m. balandžio mėn.</w:t>
            </w:r>
          </w:p>
        </w:tc>
        <w:tc>
          <w:tcPr>
            <w:tcW w:w="842" w:type="pct"/>
          </w:tcPr>
          <w:p w14:paraId="44460001" w14:textId="64132618" w:rsidR="00C305C6" w:rsidRPr="000F069E" w:rsidRDefault="00DF240B" w:rsidP="00BD14BE">
            <w:pPr>
              <w:jc w:val="center"/>
              <w:rPr>
                <w:rFonts w:cs="Times New Roman"/>
              </w:rPr>
            </w:pPr>
            <w:r>
              <w:rPr>
                <w:rFonts w:cs="Times New Roman"/>
              </w:rPr>
              <w:t>TIF dekanatas</w:t>
            </w:r>
          </w:p>
        </w:tc>
        <w:tc>
          <w:tcPr>
            <w:tcW w:w="372" w:type="pct"/>
          </w:tcPr>
          <w:p w14:paraId="4C7B1170" w14:textId="77777777" w:rsidR="00C305C6" w:rsidRPr="000F069E" w:rsidRDefault="00C305C6" w:rsidP="00C305C6">
            <w:pPr>
              <w:jc w:val="center"/>
              <w:rPr>
                <w:rFonts w:cs="Times New Roman"/>
              </w:rPr>
            </w:pPr>
          </w:p>
        </w:tc>
      </w:tr>
      <w:tr w:rsidR="00C305C6" w:rsidRPr="000F069E" w14:paraId="3C5F65DF" w14:textId="77777777" w:rsidTr="003C780C">
        <w:tc>
          <w:tcPr>
            <w:tcW w:w="245" w:type="pct"/>
            <w:vMerge/>
          </w:tcPr>
          <w:p w14:paraId="5419AA05" w14:textId="77777777" w:rsidR="00C305C6" w:rsidRPr="000F069E" w:rsidRDefault="00C305C6" w:rsidP="00C305C6">
            <w:pPr>
              <w:jc w:val="center"/>
              <w:rPr>
                <w:rFonts w:cs="Times New Roman"/>
              </w:rPr>
            </w:pPr>
          </w:p>
        </w:tc>
        <w:tc>
          <w:tcPr>
            <w:tcW w:w="1390" w:type="pct"/>
          </w:tcPr>
          <w:p w14:paraId="779C52BC" w14:textId="27AE68AE" w:rsidR="00C305C6" w:rsidRPr="000F069E" w:rsidRDefault="00C305C6" w:rsidP="00C305C6">
            <w:pPr>
              <w:rPr>
                <w:rFonts w:cs="Times New Roman"/>
              </w:rPr>
            </w:pPr>
            <w:r w:rsidRPr="00861F29">
              <w:rPr>
                <w:rFonts w:cs="Times New Roman"/>
              </w:rPr>
              <w:t xml:space="preserve">Siekiant užtikrinti konsultavimo paslaugų tęstinumą, rekomenduojama jas </w:t>
            </w:r>
            <w:r>
              <w:rPr>
                <w:rFonts w:cs="Times New Roman"/>
              </w:rPr>
              <w:t>vykdyti virtualiai</w:t>
            </w:r>
            <w:r w:rsidRPr="00861F29">
              <w:rPr>
                <w:rFonts w:cs="Times New Roman"/>
              </w:rPr>
              <w:t>, pagal nustatytą grafiką, kad būtų pasiekti vis</w:t>
            </w:r>
            <w:r>
              <w:rPr>
                <w:rFonts w:cs="Times New Roman"/>
              </w:rPr>
              <w:t>i studentai</w:t>
            </w:r>
            <w:r w:rsidRPr="00861F29">
              <w:rPr>
                <w:rFonts w:cs="Times New Roman"/>
              </w:rPr>
              <w:t xml:space="preserve">, kuriems gali </w:t>
            </w:r>
            <w:r>
              <w:rPr>
                <w:rFonts w:cs="Times New Roman"/>
              </w:rPr>
              <w:t xml:space="preserve">to </w:t>
            </w:r>
            <w:r w:rsidRPr="00861F29">
              <w:rPr>
                <w:rFonts w:cs="Times New Roman"/>
              </w:rPr>
              <w:t>prireikti (tiek grupinių, tiek individualių susitikimų metu</w:t>
            </w:r>
            <w:r>
              <w:rPr>
                <w:rFonts w:cs="Times New Roman"/>
              </w:rPr>
              <w:t>).</w:t>
            </w:r>
          </w:p>
        </w:tc>
        <w:tc>
          <w:tcPr>
            <w:tcW w:w="1403" w:type="pct"/>
          </w:tcPr>
          <w:p w14:paraId="431EFD18" w14:textId="3B25A6AF" w:rsidR="00C305C6" w:rsidRPr="000F069E" w:rsidRDefault="00C305C6" w:rsidP="00A44201">
            <w:pPr>
              <w:rPr>
                <w:rFonts w:cs="Times New Roman"/>
              </w:rPr>
            </w:pPr>
            <w:r>
              <w:rPr>
                <w:rFonts w:cs="Times New Roman"/>
              </w:rPr>
              <w:t xml:space="preserve">Studentų konsultacijos jau vyksta ir </w:t>
            </w:r>
            <w:r w:rsidR="00A44201">
              <w:rPr>
                <w:rFonts w:cs="Times New Roman"/>
              </w:rPr>
              <w:t>kontaktiniu</w:t>
            </w:r>
            <w:r>
              <w:rPr>
                <w:rFonts w:cs="Times New Roman"/>
              </w:rPr>
              <w:t>, ir nuotoliniu būdu.</w:t>
            </w:r>
          </w:p>
        </w:tc>
        <w:tc>
          <w:tcPr>
            <w:tcW w:w="748" w:type="pct"/>
          </w:tcPr>
          <w:p w14:paraId="16E052DE" w14:textId="40C8DC76" w:rsidR="00C305C6" w:rsidRPr="000F069E" w:rsidRDefault="00C305C6" w:rsidP="00C305C6">
            <w:pPr>
              <w:jc w:val="center"/>
              <w:rPr>
                <w:rFonts w:cs="Times New Roman"/>
              </w:rPr>
            </w:pPr>
            <w:r>
              <w:rPr>
                <w:rFonts w:cs="Times New Roman"/>
              </w:rPr>
              <w:t>Jau įgyvendinta</w:t>
            </w:r>
          </w:p>
        </w:tc>
        <w:tc>
          <w:tcPr>
            <w:tcW w:w="842" w:type="pct"/>
          </w:tcPr>
          <w:p w14:paraId="36D7DDA0" w14:textId="77777777" w:rsidR="00C305C6" w:rsidRPr="000F069E" w:rsidRDefault="00C305C6" w:rsidP="00C305C6">
            <w:pPr>
              <w:jc w:val="center"/>
              <w:rPr>
                <w:rFonts w:cs="Times New Roman"/>
              </w:rPr>
            </w:pPr>
          </w:p>
        </w:tc>
        <w:tc>
          <w:tcPr>
            <w:tcW w:w="372" w:type="pct"/>
          </w:tcPr>
          <w:p w14:paraId="125E07D6" w14:textId="77777777" w:rsidR="00C305C6" w:rsidRPr="000F069E" w:rsidRDefault="00C305C6" w:rsidP="00C305C6">
            <w:pPr>
              <w:jc w:val="center"/>
              <w:rPr>
                <w:rFonts w:cs="Times New Roman"/>
              </w:rPr>
            </w:pPr>
          </w:p>
        </w:tc>
      </w:tr>
      <w:tr w:rsidR="00C305C6" w:rsidRPr="000F069E" w14:paraId="65B169A5" w14:textId="77777777" w:rsidTr="003C780C">
        <w:tc>
          <w:tcPr>
            <w:tcW w:w="245" w:type="pct"/>
            <w:vMerge/>
          </w:tcPr>
          <w:p w14:paraId="6B879888" w14:textId="77777777" w:rsidR="00C305C6" w:rsidRPr="000F069E" w:rsidRDefault="00C305C6" w:rsidP="00C305C6">
            <w:pPr>
              <w:jc w:val="center"/>
              <w:rPr>
                <w:rFonts w:cs="Times New Roman"/>
              </w:rPr>
            </w:pPr>
          </w:p>
        </w:tc>
        <w:tc>
          <w:tcPr>
            <w:tcW w:w="1390" w:type="pct"/>
          </w:tcPr>
          <w:p w14:paraId="4BF382E8" w14:textId="398B85BC" w:rsidR="00C305C6" w:rsidRPr="000F069E" w:rsidRDefault="00C305C6" w:rsidP="00C305C6">
            <w:pPr>
              <w:rPr>
                <w:rFonts w:cs="Times New Roman"/>
              </w:rPr>
            </w:pPr>
            <w:r w:rsidRPr="00BD14BE">
              <w:rPr>
                <w:rFonts w:cs="Times New Roman"/>
              </w:rPr>
              <w:t>Studijų informacijos stojantiesiems į pirmąją pakopą, atsižvelgiant į iškritimo iš universiteto priežastis, nepakanka, todėl rekomenduojama kompleksiškesnė studijų krypties reklama/viešinimas.</w:t>
            </w:r>
          </w:p>
        </w:tc>
        <w:tc>
          <w:tcPr>
            <w:tcW w:w="1403" w:type="pct"/>
          </w:tcPr>
          <w:p w14:paraId="57F1CE87" w14:textId="37C8F250" w:rsidR="00C305C6" w:rsidRPr="000F069E" w:rsidRDefault="007A1405" w:rsidP="009442D6">
            <w:pPr>
              <w:rPr>
                <w:rFonts w:cs="Times New Roman"/>
              </w:rPr>
            </w:pPr>
            <w:r w:rsidRPr="007A1405">
              <w:rPr>
                <w:rFonts w:cs="Times New Roman"/>
              </w:rPr>
              <w:t>Planuojama atnaujinti ir padaryti suprantamesnę, aiškesnę ir aktualesnę informaciją pateikiamą fakulteto internetiniame puslapyje, išplečiant pirmosios pakopos studijose studijuojamų dalykų pristatymą, jiems būtiną išankstinį pasiruošimą bei kur vėliau šio dalyko žinios bus reikalingos. Taip būsimi studentai susidarytų aiškesnį vaizdą apie konkrečius studijuojamus dalykus, jų ryšį su visa studijų programa. Atlikus šiuos pakeitimus planuojamas studijų programos viešinimas taikant Google Ads, Facabook, Instagram platformose, sukuriant patrauktų ir įtraukiantį turinį mokiniams, kurie būtų kviečiami rinktis Transporto inžinerijos studijas.</w:t>
            </w:r>
          </w:p>
        </w:tc>
        <w:tc>
          <w:tcPr>
            <w:tcW w:w="748" w:type="pct"/>
          </w:tcPr>
          <w:p w14:paraId="728CFF7C" w14:textId="77777777" w:rsidR="00C305C6" w:rsidRPr="000F069E" w:rsidRDefault="00C305C6" w:rsidP="00C305C6">
            <w:pPr>
              <w:jc w:val="center"/>
              <w:rPr>
                <w:rFonts w:cs="Times New Roman"/>
              </w:rPr>
            </w:pPr>
          </w:p>
        </w:tc>
        <w:tc>
          <w:tcPr>
            <w:tcW w:w="842" w:type="pct"/>
          </w:tcPr>
          <w:p w14:paraId="26322E36" w14:textId="256705EC" w:rsidR="00C305C6" w:rsidRPr="000F069E" w:rsidRDefault="00C305C6" w:rsidP="00C305C6">
            <w:pPr>
              <w:jc w:val="center"/>
              <w:rPr>
                <w:rFonts w:cs="Times New Roman"/>
              </w:rPr>
            </w:pPr>
            <w:r>
              <w:rPr>
                <w:rFonts w:cs="Times New Roman"/>
              </w:rPr>
              <w:t>TIF prodekanas G. Garbinčius</w:t>
            </w:r>
          </w:p>
        </w:tc>
        <w:tc>
          <w:tcPr>
            <w:tcW w:w="372" w:type="pct"/>
          </w:tcPr>
          <w:p w14:paraId="6E239253" w14:textId="77777777" w:rsidR="00C305C6" w:rsidRPr="000F069E" w:rsidRDefault="00C305C6" w:rsidP="00C305C6">
            <w:pPr>
              <w:jc w:val="center"/>
              <w:rPr>
                <w:rFonts w:cs="Times New Roman"/>
              </w:rPr>
            </w:pPr>
          </w:p>
        </w:tc>
      </w:tr>
      <w:tr w:rsidR="00C305C6" w:rsidRPr="000F069E" w14:paraId="53442232" w14:textId="6CD9F18A" w:rsidTr="003C780C">
        <w:tc>
          <w:tcPr>
            <w:tcW w:w="245" w:type="pct"/>
          </w:tcPr>
          <w:p w14:paraId="5BB9C420" w14:textId="77777777" w:rsidR="00C305C6" w:rsidRPr="000F069E" w:rsidRDefault="00C305C6" w:rsidP="00C305C6">
            <w:pPr>
              <w:jc w:val="center"/>
              <w:rPr>
                <w:rFonts w:cs="Times New Roman"/>
              </w:rPr>
            </w:pPr>
            <w:r w:rsidRPr="000F069E">
              <w:rPr>
                <w:rFonts w:cs="Times New Roman"/>
              </w:rPr>
              <w:t>4.</w:t>
            </w:r>
          </w:p>
        </w:tc>
        <w:tc>
          <w:tcPr>
            <w:tcW w:w="1390" w:type="pct"/>
            <w:shd w:val="clear" w:color="auto" w:fill="FFFF00"/>
          </w:tcPr>
          <w:p w14:paraId="00A5F1AC" w14:textId="4ED60717" w:rsidR="00C305C6" w:rsidRPr="000F069E" w:rsidRDefault="00C305C6" w:rsidP="00C305C6">
            <w:pPr>
              <w:rPr>
                <w:rFonts w:cs="Times New Roman"/>
              </w:rPr>
            </w:pPr>
            <w:r w:rsidRPr="00861F29">
              <w:rPr>
                <w:rFonts w:cs="Times New Roman"/>
              </w:rPr>
              <w:t>Turėtų būti sukurtas prevencijos mechanizmas rengiant oficialias etikos ir akademinio sąžiningumo principų informavimo sesijas (pvz., akademinis rašymas, citavimas, nukrypimų nuo etikos ir akademinio sąžiningumo principų pavyzdžiai – pirmosios pakopos studijoms ir konkrečios mokslinių tyrimų etikos sąvokos – antrosios pakopos studijoms)</w:t>
            </w:r>
          </w:p>
        </w:tc>
        <w:tc>
          <w:tcPr>
            <w:tcW w:w="1403" w:type="pct"/>
            <w:shd w:val="clear" w:color="auto" w:fill="FFFF00"/>
          </w:tcPr>
          <w:p w14:paraId="7934F220" w14:textId="0DFC419E" w:rsidR="00C305C6" w:rsidRPr="000F069E" w:rsidRDefault="00C305C6" w:rsidP="009442D6">
            <w:pPr>
              <w:rPr>
                <w:rFonts w:cs="Times New Roman"/>
              </w:rPr>
            </w:pPr>
          </w:p>
        </w:tc>
        <w:tc>
          <w:tcPr>
            <w:tcW w:w="748" w:type="pct"/>
            <w:shd w:val="clear" w:color="auto" w:fill="FFFF00"/>
          </w:tcPr>
          <w:p w14:paraId="7F39C0FD" w14:textId="1B0AF240" w:rsidR="00C305C6" w:rsidRPr="000F069E" w:rsidRDefault="00C305C6" w:rsidP="00C305C6">
            <w:pPr>
              <w:jc w:val="center"/>
              <w:rPr>
                <w:rFonts w:cs="Times New Roman"/>
              </w:rPr>
            </w:pPr>
          </w:p>
        </w:tc>
        <w:tc>
          <w:tcPr>
            <w:tcW w:w="842" w:type="pct"/>
            <w:shd w:val="clear" w:color="auto" w:fill="FFFF00"/>
          </w:tcPr>
          <w:p w14:paraId="65ADAFF4" w14:textId="79B2FD4B" w:rsidR="00C305C6" w:rsidRPr="000F069E" w:rsidRDefault="00C305C6" w:rsidP="00C305C6">
            <w:pPr>
              <w:jc w:val="center"/>
              <w:rPr>
                <w:rFonts w:cs="Times New Roman"/>
              </w:rPr>
            </w:pPr>
            <w:r>
              <w:rPr>
                <w:rFonts w:cs="Times New Roman"/>
              </w:rPr>
              <w:t>Studijų direkcija</w:t>
            </w:r>
          </w:p>
        </w:tc>
        <w:tc>
          <w:tcPr>
            <w:tcW w:w="372" w:type="pct"/>
          </w:tcPr>
          <w:p w14:paraId="00141C2B" w14:textId="77777777" w:rsidR="00C305C6" w:rsidRPr="000F069E" w:rsidRDefault="00C305C6" w:rsidP="00C305C6">
            <w:pPr>
              <w:jc w:val="center"/>
              <w:rPr>
                <w:rFonts w:cs="Times New Roman"/>
              </w:rPr>
            </w:pPr>
          </w:p>
        </w:tc>
      </w:tr>
      <w:tr w:rsidR="00C305C6" w:rsidRPr="000F069E" w14:paraId="5B0F114B" w14:textId="1E8959CA" w:rsidTr="003C780C">
        <w:tc>
          <w:tcPr>
            <w:tcW w:w="245" w:type="pct"/>
            <w:vMerge w:val="restart"/>
          </w:tcPr>
          <w:p w14:paraId="77E0A9FC" w14:textId="77777777" w:rsidR="00C305C6" w:rsidRPr="000F069E" w:rsidRDefault="00C305C6" w:rsidP="00C305C6">
            <w:pPr>
              <w:jc w:val="center"/>
              <w:rPr>
                <w:rFonts w:cs="Times New Roman"/>
              </w:rPr>
            </w:pPr>
            <w:r w:rsidRPr="000F069E">
              <w:rPr>
                <w:rFonts w:cs="Times New Roman"/>
              </w:rPr>
              <w:t>5.</w:t>
            </w:r>
          </w:p>
        </w:tc>
        <w:tc>
          <w:tcPr>
            <w:tcW w:w="1390" w:type="pct"/>
          </w:tcPr>
          <w:p w14:paraId="00E60FE1" w14:textId="0FFFB2A9" w:rsidR="00C305C6" w:rsidRPr="000F069E" w:rsidRDefault="00C305C6" w:rsidP="00C305C6">
            <w:pPr>
              <w:rPr>
                <w:rFonts w:cs="Times New Roman"/>
              </w:rPr>
            </w:pPr>
            <w:r w:rsidRPr="00861F29">
              <w:rPr>
                <w:rFonts w:cs="Times New Roman"/>
              </w:rPr>
              <w:t>Dėstytoj</w:t>
            </w:r>
            <w:r>
              <w:rPr>
                <w:rFonts w:cs="Times New Roman"/>
              </w:rPr>
              <w:t>ai turėtų būti labiau remiami ir skatinami</w:t>
            </w:r>
            <w:r w:rsidRPr="00861F29">
              <w:rPr>
                <w:rFonts w:cs="Times New Roman"/>
              </w:rPr>
              <w:t xml:space="preserve"> reguliariai tobulėti profesinėje srityje</w:t>
            </w:r>
            <w:r>
              <w:rPr>
                <w:rFonts w:cs="Times New Roman"/>
              </w:rPr>
              <w:t>, kad</w:t>
            </w:r>
            <w:r w:rsidRPr="00861F29">
              <w:rPr>
                <w:rFonts w:cs="Times New Roman"/>
              </w:rPr>
              <w:t xml:space="preserve"> įgytų gamybinės patirties.</w:t>
            </w:r>
          </w:p>
        </w:tc>
        <w:tc>
          <w:tcPr>
            <w:tcW w:w="1403" w:type="pct"/>
          </w:tcPr>
          <w:p w14:paraId="2750E357" w14:textId="77777777" w:rsidR="00C305C6" w:rsidRDefault="009442D6" w:rsidP="00F93BCA">
            <w:pPr>
              <w:spacing w:after="120"/>
              <w:rPr>
                <w:rFonts w:cs="Times New Roman"/>
              </w:rPr>
            </w:pPr>
            <w:r>
              <w:rPr>
                <w:rFonts w:cs="Times New Roman"/>
              </w:rPr>
              <w:t xml:space="preserve">Siūloma universiteto vadovybei apsvarstyti galimybę gražinti ankstesnę tvarką, kuomet </w:t>
            </w:r>
            <w:r w:rsidR="001C18CE">
              <w:rPr>
                <w:rFonts w:cs="Times New Roman"/>
              </w:rPr>
              <w:t>kiekvienas dėstytojas per 5 metų kadenciją privalėdavo atlikti ne trumpesnę, kaip 2 mėn. stažuotę įmonėse.</w:t>
            </w:r>
          </w:p>
          <w:p w14:paraId="14FBCA70" w14:textId="14210053" w:rsidR="00085A5A" w:rsidRPr="000F069E" w:rsidRDefault="00F93BCA" w:rsidP="00F93BCA">
            <w:pPr>
              <w:rPr>
                <w:rFonts w:cs="Times New Roman"/>
              </w:rPr>
            </w:pPr>
            <w:r>
              <w:rPr>
                <w:rFonts w:cs="Times New Roman"/>
              </w:rPr>
              <w:t xml:space="preserve">Skatinti dėstytojus pasinaudoti </w:t>
            </w:r>
            <w:r w:rsidR="00085A5A">
              <w:rPr>
                <w:rFonts w:cs="Times New Roman"/>
              </w:rPr>
              <w:t xml:space="preserve">Erasmus+ mokymosi vizitų </w:t>
            </w:r>
            <w:r>
              <w:rPr>
                <w:rFonts w:cs="Times New Roman"/>
              </w:rPr>
              <w:t xml:space="preserve">teikiamomis </w:t>
            </w:r>
            <w:r w:rsidR="00085A5A">
              <w:rPr>
                <w:rFonts w:cs="Times New Roman"/>
              </w:rPr>
              <w:t>galimyb</w:t>
            </w:r>
            <w:r>
              <w:rPr>
                <w:rFonts w:cs="Times New Roman"/>
              </w:rPr>
              <w:t>ėmis</w:t>
            </w:r>
            <w:r w:rsidR="00085A5A">
              <w:rPr>
                <w:rFonts w:cs="Times New Roman"/>
              </w:rPr>
              <w:t xml:space="preserve"> gamybinės patirties įgijimui.</w:t>
            </w:r>
          </w:p>
        </w:tc>
        <w:tc>
          <w:tcPr>
            <w:tcW w:w="748" w:type="pct"/>
          </w:tcPr>
          <w:p w14:paraId="1A91D7CC" w14:textId="77777777" w:rsidR="00C305C6" w:rsidRPr="000F069E" w:rsidRDefault="00C305C6" w:rsidP="00C305C6">
            <w:pPr>
              <w:jc w:val="center"/>
              <w:rPr>
                <w:rFonts w:cs="Times New Roman"/>
              </w:rPr>
            </w:pPr>
          </w:p>
        </w:tc>
        <w:tc>
          <w:tcPr>
            <w:tcW w:w="842" w:type="pct"/>
          </w:tcPr>
          <w:p w14:paraId="129F2834" w14:textId="28B467FB" w:rsidR="00C305C6" w:rsidRDefault="00C305C6" w:rsidP="00C305C6">
            <w:pPr>
              <w:jc w:val="center"/>
              <w:rPr>
                <w:rFonts w:cs="Times New Roman"/>
              </w:rPr>
            </w:pPr>
            <w:r>
              <w:rPr>
                <w:rFonts w:cs="Times New Roman"/>
              </w:rPr>
              <w:t>TIF dekanatas</w:t>
            </w:r>
          </w:p>
          <w:p w14:paraId="11FB9BF1" w14:textId="77777777" w:rsidR="005F3F23" w:rsidRDefault="005F3F23" w:rsidP="005F3F23">
            <w:pPr>
              <w:spacing w:before="120" w:after="120"/>
              <w:jc w:val="center"/>
              <w:rPr>
                <w:rFonts w:cs="Times New Roman"/>
              </w:rPr>
            </w:pPr>
            <w:r>
              <w:rPr>
                <w:rFonts w:cs="Times New Roman"/>
              </w:rPr>
              <w:t>I studijų pakopos SPK (S. Pukalskas)</w:t>
            </w:r>
          </w:p>
          <w:p w14:paraId="6810796C" w14:textId="200C468F" w:rsidR="00C305C6" w:rsidRPr="000F069E" w:rsidRDefault="005F3F23" w:rsidP="005F3F23">
            <w:pPr>
              <w:jc w:val="center"/>
              <w:rPr>
                <w:rFonts w:cs="Times New Roman"/>
              </w:rPr>
            </w:pPr>
            <w:r>
              <w:rPr>
                <w:rFonts w:cs="Times New Roman"/>
              </w:rPr>
              <w:t>II studijų pakopos SPK (M. Bogdevičius)</w:t>
            </w:r>
          </w:p>
        </w:tc>
        <w:tc>
          <w:tcPr>
            <w:tcW w:w="372" w:type="pct"/>
          </w:tcPr>
          <w:p w14:paraId="16466EC2" w14:textId="77777777" w:rsidR="00C305C6" w:rsidRPr="000F069E" w:rsidRDefault="00C305C6" w:rsidP="00C305C6">
            <w:pPr>
              <w:jc w:val="center"/>
              <w:rPr>
                <w:rFonts w:cs="Times New Roman"/>
              </w:rPr>
            </w:pPr>
          </w:p>
        </w:tc>
      </w:tr>
      <w:tr w:rsidR="00C305C6" w:rsidRPr="000F069E" w14:paraId="1063C7E8" w14:textId="77777777" w:rsidTr="003C780C">
        <w:tc>
          <w:tcPr>
            <w:tcW w:w="245" w:type="pct"/>
            <w:vMerge/>
          </w:tcPr>
          <w:p w14:paraId="349CFEE1" w14:textId="77777777" w:rsidR="00C305C6" w:rsidRPr="000F069E" w:rsidRDefault="00C305C6" w:rsidP="00C305C6">
            <w:pPr>
              <w:jc w:val="center"/>
              <w:rPr>
                <w:rFonts w:cs="Times New Roman"/>
              </w:rPr>
            </w:pPr>
          </w:p>
        </w:tc>
        <w:tc>
          <w:tcPr>
            <w:tcW w:w="1390" w:type="pct"/>
          </w:tcPr>
          <w:p w14:paraId="05EAC885" w14:textId="273576D1" w:rsidR="00C305C6" w:rsidRPr="000F069E" w:rsidRDefault="00C305C6" w:rsidP="00C305C6">
            <w:pPr>
              <w:rPr>
                <w:rFonts w:cs="Times New Roman"/>
              </w:rPr>
            </w:pPr>
            <w:r>
              <w:rPr>
                <w:rFonts w:cs="Times New Roman"/>
              </w:rPr>
              <w:t>P</w:t>
            </w:r>
            <w:r w:rsidRPr="00A30747">
              <w:rPr>
                <w:rFonts w:cs="Times New Roman"/>
              </w:rPr>
              <w:t xml:space="preserve">lėsti bendradarbiavimą su </w:t>
            </w:r>
            <w:r>
              <w:rPr>
                <w:rFonts w:cs="Times New Roman"/>
              </w:rPr>
              <w:t>šalyje</w:t>
            </w:r>
            <w:r w:rsidRPr="00A30747">
              <w:rPr>
                <w:rFonts w:cs="Times New Roman"/>
              </w:rPr>
              <w:t xml:space="preserve"> pripažintais dėstytojais ir pramonės ekspertais</w:t>
            </w:r>
            <w:r>
              <w:rPr>
                <w:rFonts w:cs="Times New Roman"/>
              </w:rPr>
              <w:t>.</w:t>
            </w:r>
          </w:p>
        </w:tc>
        <w:tc>
          <w:tcPr>
            <w:tcW w:w="1403" w:type="pct"/>
          </w:tcPr>
          <w:p w14:paraId="28F93593" w14:textId="7FF3A6A9" w:rsidR="00C305C6" w:rsidRDefault="003619B8" w:rsidP="00F93BCA">
            <w:pPr>
              <w:spacing w:after="120"/>
              <w:rPr>
                <w:rFonts w:cs="Times New Roman"/>
              </w:rPr>
            </w:pPr>
            <w:r>
              <w:rPr>
                <w:rFonts w:cs="Times New Roman"/>
              </w:rPr>
              <w:t xml:space="preserve">Intensyviau bendradarbiauti su VDU Žemės ūkio akademijos </w:t>
            </w:r>
            <w:r w:rsidR="00326099" w:rsidRPr="00326099">
              <w:rPr>
                <w:rFonts w:cs="Times New Roman"/>
              </w:rPr>
              <w:t>Mechanikos, energetikos ir biotechnologijų inžinerijos katedr</w:t>
            </w:r>
            <w:r w:rsidR="00326099">
              <w:rPr>
                <w:rFonts w:cs="Times New Roman"/>
              </w:rPr>
              <w:t xml:space="preserve">a </w:t>
            </w:r>
            <w:r w:rsidR="00F93BCA">
              <w:rPr>
                <w:rFonts w:cs="Times New Roman"/>
              </w:rPr>
              <w:t xml:space="preserve">bei Klaipėdos universiteto Jūros technologijų ir gamtos mokslų fakultetu </w:t>
            </w:r>
            <w:r w:rsidR="00326099">
              <w:rPr>
                <w:rFonts w:cs="Times New Roman"/>
              </w:rPr>
              <w:t>vykdant bendrus mokslinius tyrimus.</w:t>
            </w:r>
          </w:p>
          <w:p w14:paraId="771F6784" w14:textId="77777777" w:rsidR="00326099" w:rsidRDefault="00326099" w:rsidP="00F93BCA">
            <w:pPr>
              <w:spacing w:after="120"/>
              <w:rPr>
                <w:rFonts w:cs="Times New Roman"/>
              </w:rPr>
            </w:pPr>
            <w:r>
              <w:rPr>
                <w:rFonts w:cs="Times New Roman"/>
              </w:rPr>
              <w:lastRenderedPageBreak/>
              <w:t xml:space="preserve">Nuolat ieškoma bendradarbiavimo su aukšto lygio pramonės ekspertais. Vykdomi bendri projektai. </w:t>
            </w:r>
          </w:p>
          <w:p w14:paraId="1B1B546F" w14:textId="57CA9885" w:rsidR="00326099" w:rsidRPr="000F069E" w:rsidRDefault="00F93BCA" w:rsidP="00F93BCA">
            <w:pPr>
              <w:rPr>
                <w:rFonts w:cs="Times New Roman"/>
              </w:rPr>
            </w:pPr>
            <w:r>
              <w:rPr>
                <w:rFonts w:cs="Times New Roman"/>
              </w:rPr>
              <w:t>Intensyviau bendradarbiauti su AB „Lietuvos geležinkeliai“</w:t>
            </w:r>
          </w:p>
        </w:tc>
        <w:tc>
          <w:tcPr>
            <w:tcW w:w="748" w:type="pct"/>
          </w:tcPr>
          <w:p w14:paraId="0282F00F" w14:textId="77777777" w:rsidR="00C305C6" w:rsidRPr="000F069E" w:rsidRDefault="00C305C6" w:rsidP="00C305C6">
            <w:pPr>
              <w:jc w:val="center"/>
              <w:rPr>
                <w:rFonts w:cs="Times New Roman"/>
              </w:rPr>
            </w:pPr>
          </w:p>
        </w:tc>
        <w:tc>
          <w:tcPr>
            <w:tcW w:w="842" w:type="pct"/>
          </w:tcPr>
          <w:p w14:paraId="345C958A" w14:textId="77777777" w:rsidR="005F3F23" w:rsidRDefault="005F3F23" w:rsidP="00C305C6">
            <w:pPr>
              <w:jc w:val="center"/>
              <w:rPr>
                <w:rFonts w:cs="Times New Roman"/>
              </w:rPr>
            </w:pPr>
            <w:r>
              <w:rPr>
                <w:rFonts w:cs="Times New Roman"/>
              </w:rPr>
              <w:t>I studijų pakopos SPK (S. Pukalskas)</w:t>
            </w:r>
          </w:p>
          <w:p w14:paraId="744018BB" w14:textId="74FD439F" w:rsidR="00C305C6" w:rsidRPr="000F069E" w:rsidRDefault="00C305C6" w:rsidP="005F3F23">
            <w:pPr>
              <w:spacing w:before="120"/>
              <w:jc w:val="center"/>
              <w:rPr>
                <w:rFonts w:cs="Times New Roman"/>
              </w:rPr>
            </w:pPr>
            <w:r>
              <w:rPr>
                <w:rFonts w:cs="Times New Roman"/>
              </w:rPr>
              <w:t>II studijų pakopos SPK (M. Bogdevičius)</w:t>
            </w:r>
          </w:p>
        </w:tc>
        <w:tc>
          <w:tcPr>
            <w:tcW w:w="372" w:type="pct"/>
          </w:tcPr>
          <w:p w14:paraId="5A01C15C" w14:textId="77777777" w:rsidR="00C305C6" w:rsidRPr="000F069E" w:rsidRDefault="00C305C6" w:rsidP="00C305C6">
            <w:pPr>
              <w:jc w:val="center"/>
              <w:rPr>
                <w:rFonts w:cs="Times New Roman"/>
              </w:rPr>
            </w:pPr>
          </w:p>
        </w:tc>
      </w:tr>
      <w:tr w:rsidR="00C305C6" w:rsidRPr="000F069E" w14:paraId="67B6E76B" w14:textId="77777777" w:rsidTr="003C780C">
        <w:tc>
          <w:tcPr>
            <w:tcW w:w="245" w:type="pct"/>
          </w:tcPr>
          <w:p w14:paraId="4F3162CC" w14:textId="2E94F6DF" w:rsidR="00C305C6" w:rsidRPr="000F069E" w:rsidRDefault="00C305C6" w:rsidP="00C305C6">
            <w:pPr>
              <w:jc w:val="center"/>
              <w:rPr>
                <w:rFonts w:cs="Times New Roman"/>
              </w:rPr>
            </w:pPr>
            <w:r>
              <w:rPr>
                <w:rFonts w:cs="Times New Roman"/>
              </w:rPr>
              <w:t>6.</w:t>
            </w:r>
          </w:p>
        </w:tc>
        <w:tc>
          <w:tcPr>
            <w:tcW w:w="1390" w:type="pct"/>
          </w:tcPr>
          <w:p w14:paraId="34A81802" w14:textId="6F724C3C" w:rsidR="00C305C6" w:rsidRPr="000F069E" w:rsidRDefault="00C305C6" w:rsidP="00C305C6">
            <w:pPr>
              <w:rPr>
                <w:rFonts w:cs="Times New Roman"/>
              </w:rPr>
            </w:pPr>
            <w:r>
              <w:rPr>
                <w:rFonts w:cs="Times New Roman"/>
              </w:rPr>
              <w:t>-</w:t>
            </w:r>
          </w:p>
        </w:tc>
        <w:tc>
          <w:tcPr>
            <w:tcW w:w="1403" w:type="pct"/>
          </w:tcPr>
          <w:p w14:paraId="2FADCDC8" w14:textId="42DE68FA" w:rsidR="00C305C6" w:rsidRPr="000F069E" w:rsidRDefault="00C305C6" w:rsidP="009442D6">
            <w:pPr>
              <w:rPr>
                <w:rFonts w:cs="Times New Roman"/>
              </w:rPr>
            </w:pPr>
          </w:p>
        </w:tc>
        <w:tc>
          <w:tcPr>
            <w:tcW w:w="748" w:type="pct"/>
          </w:tcPr>
          <w:p w14:paraId="39BC4F51" w14:textId="3BB2511C" w:rsidR="00C305C6" w:rsidRPr="000F069E" w:rsidRDefault="00C305C6" w:rsidP="00C305C6">
            <w:pPr>
              <w:jc w:val="center"/>
              <w:rPr>
                <w:rFonts w:cs="Times New Roman"/>
              </w:rPr>
            </w:pPr>
          </w:p>
        </w:tc>
        <w:tc>
          <w:tcPr>
            <w:tcW w:w="842" w:type="pct"/>
          </w:tcPr>
          <w:p w14:paraId="083BB237" w14:textId="5CC2E404" w:rsidR="00C305C6" w:rsidRPr="000F069E" w:rsidRDefault="00C305C6" w:rsidP="00C305C6">
            <w:pPr>
              <w:jc w:val="center"/>
              <w:rPr>
                <w:rFonts w:cs="Times New Roman"/>
              </w:rPr>
            </w:pPr>
          </w:p>
        </w:tc>
        <w:tc>
          <w:tcPr>
            <w:tcW w:w="372" w:type="pct"/>
          </w:tcPr>
          <w:p w14:paraId="7530AF02" w14:textId="77777777" w:rsidR="00C305C6" w:rsidRPr="000F069E" w:rsidRDefault="00C305C6" w:rsidP="00C305C6">
            <w:pPr>
              <w:jc w:val="center"/>
              <w:rPr>
                <w:rFonts w:cs="Times New Roman"/>
              </w:rPr>
            </w:pPr>
          </w:p>
        </w:tc>
      </w:tr>
      <w:tr w:rsidR="00C305C6" w:rsidRPr="000F069E" w14:paraId="3A80F922" w14:textId="77777777" w:rsidTr="003C780C">
        <w:tc>
          <w:tcPr>
            <w:tcW w:w="245" w:type="pct"/>
            <w:vMerge w:val="restart"/>
          </w:tcPr>
          <w:p w14:paraId="6ED8F246" w14:textId="6B5A6866" w:rsidR="00C305C6" w:rsidRPr="000F069E" w:rsidRDefault="00C305C6" w:rsidP="00C305C6">
            <w:pPr>
              <w:jc w:val="center"/>
              <w:rPr>
                <w:rFonts w:cs="Times New Roman"/>
              </w:rPr>
            </w:pPr>
            <w:r>
              <w:rPr>
                <w:rFonts w:cs="Times New Roman"/>
              </w:rPr>
              <w:t>7.</w:t>
            </w:r>
          </w:p>
        </w:tc>
        <w:tc>
          <w:tcPr>
            <w:tcW w:w="1390" w:type="pct"/>
          </w:tcPr>
          <w:p w14:paraId="13D351AE" w14:textId="4EB66947" w:rsidR="00C305C6" w:rsidRPr="000F069E" w:rsidRDefault="00C305C6" w:rsidP="00C305C6">
            <w:pPr>
              <w:rPr>
                <w:rFonts w:cs="Times New Roman"/>
              </w:rPr>
            </w:pPr>
            <w:r w:rsidRPr="00861F29">
              <w:rPr>
                <w:rFonts w:cs="Times New Roman"/>
              </w:rPr>
              <w:t>Universitetui rekomenduojama bandyti imtis iniciatyvos, siekiant glaudesnio bendradarbiavimo su išorės / pramonės partneriais.</w:t>
            </w:r>
          </w:p>
        </w:tc>
        <w:tc>
          <w:tcPr>
            <w:tcW w:w="1403" w:type="pct"/>
          </w:tcPr>
          <w:p w14:paraId="2365FC6E" w14:textId="73CD7235" w:rsidR="00326099" w:rsidRDefault="00326099" w:rsidP="00326099">
            <w:pPr>
              <w:rPr>
                <w:rFonts w:cs="Times New Roman"/>
              </w:rPr>
            </w:pPr>
            <w:r>
              <w:rPr>
                <w:rFonts w:cs="Times New Roman"/>
              </w:rPr>
              <w:t xml:space="preserve">Nuolat ieškoma bendradarbiavimo su pramone/verslu. Vykdomi bendri projektai. Šiuo metu su dviem inovatyviomis įmonėmis vykdomas projektas </w:t>
            </w:r>
            <w:r w:rsidRPr="00326099">
              <w:rPr>
                <w:rFonts w:cs="Times New Roman"/>
              </w:rPr>
              <w:t>„Decentralizuoto, atsinaujinančius energijos išteklius naudojančio, elektrinių transporto priemonių (super) greito įkrovimo įrenginio eksperimentinė plėtra (bandomoji versija)“ AIE-01-001</w:t>
            </w:r>
            <w:r>
              <w:rPr>
                <w:rFonts w:cs="Times New Roman"/>
              </w:rPr>
              <w:t>.</w:t>
            </w:r>
          </w:p>
          <w:p w14:paraId="6D7FBA69" w14:textId="77777777" w:rsidR="00326099" w:rsidRDefault="00DA7B8F" w:rsidP="00F93BCA">
            <w:pPr>
              <w:spacing w:after="120"/>
              <w:rPr>
                <w:rFonts w:cs="Times New Roman"/>
              </w:rPr>
            </w:pPr>
            <w:r>
              <w:rPr>
                <w:rFonts w:cs="Times New Roman"/>
              </w:rPr>
              <w:t>Planuojama intensyvinti bendradarbiavimą su verslu ir baigiamųjų darbų tematikas rinktis iš verslo įmonių.</w:t>
            </w:r>
          </w:p>
          <w:p w14:paraId="61C823EC" w14:textId="77777777" w:rsidR="00F93BCA" w:rsidRPr="00F93BCA" w:rsidRDefault="00F93BCA" w:rsidP="00F93BCA">
            <w:pPr>
              <w:rPr>
                <w:rFonts w:cs="Times New Roman"/>
              </w:rPr>
            </w:pPr>
            <w:r w:rsidRPr="00F93BCA">
              <w:rPr>
                <w:rFonts w:cs="Times New Roman"/>
              </w:rPr>
              <w:t>Planuojama toliau bendradarbiauti su išorės verslo partneriais:</w:t>
            </w:r>
          </w:p>
          <w:p w14:paraId="5616F10C" w14:textId="77777777" w:rsidR="00F93BCA" w:rsidRPr="00F93BCA" w:rsidRDefault="00F93BCA" w:rsidP="00F93BCA">
            <w:pPr>
              <w:spacing w:after="120"/>
              <w:rPr>
                <w:rFonts w:cs="Times New Roman"/>
              </w:rPr>
            </w:pPr>
            <w:r w:rsidRPr="00F93BCA">
              <w:rPr>
                <w:rFonts w:cs="Times New Roman"/>
              </w:rPr>
              <w:t>Tenneco (BE); Arrival LTD (UK), Fundació Eurecat (ES), Zavod za gradbeništvo Slovenije (SI), EURNEX Association (DE), Asociación de Investigación Metalúrgica del Noroeste (ES), AITEC Asesores Internacionales, SRL BEXEL Consulting (ES), FCC Austria Abfall Service AG (AT), SENER Ingeniería y Sistemas SA (ES), Schrey &amp; Veit (DE), OLTIS Group AS (CZ), WITT Industrieelektronik GMBH (DE), Ferrovie dello Stato Italiane (IT).</w:t>
            </w:r>
          </w:p>
          <w:p w14:paraId="71B90BAE" w14:textId="77777777" w:rsidR="00F93BCA" w:rsidRPr="00F93BCA" w:rsidRDefault="00F93BCA" w:rsidP="00F93BCA">
            <w:pPr>
              <w:rPr>
                <w:rFonts w:cs="Times New Roman"/>
              </w:rPr>
            </w:pPr>
            <w:r w:rsidRPr="00F93BCA">
              <w:rPr>
                <w:rFonts w:cs="Times New Roman"/>
              </w:rPr>
              <w:t>Planuojama toliau bendradarbiauti su užsienio universitetais:</w:t>
            </w:r>
          </w:p>
          <w:p w14:paraId="2CF14991" w14:textId="63021329" w:rsidR="00F93BCA" w:rsidRPr="000F069E" w:rsidRDefault="00F93BCA" w:rsidP="00F93BCA">
            <w:pPr>
              <w:rPr>
                <w:rFonts w:cs="Times New Roman"/>
              </w:rPr>
            </w:pPr>
            <w:r w:rsidRPr="00F93BCA">
              <w:rPr>
                <w:rFonts w:cs="Times New Roman"/>
              </w:rPr>
              <w:t>Technische Universität Berlin (DE), Technical University Delft (NL); Technical University Ilmenau (DE); Universita Degli Studi Di Modena e Reggio Emilia (IT); Univesita Delgi Studi Di Napoli Federico II (IT); University of surrey (UK); National University Corporation The University of Tokyo (JP); University of Pretoria (ZA), University of Leeds (UK), Austrian Institute of Technology (AT), DICEA Dipartamento Ingegneria Civile Edile e Ambientale(IT).</w:t>
            </w:r>
          </w:p>
        </w:tc>
        <w:tc>
          <w:tcPr>
            <w:tcW w:w="748" w:type="pct"/>
          </w:tcPr>
          <w:p w14:paraId="3FA012D9" w14:textId="12BDE545" w:rsidR="00C305C6" w:rsidRPr="000F069E" w:rsidRDefault="00C305C6" w:rsidP="00C305C6">
            <w:pPr>
              <w:jc w:val="center"/>
              <w:rPr>
                <w:rFonts w:cs="Times New Roman"/>
              </w:rPr>
            </w:pPr>
          </w:p>
        </w:tc>
        <w:tc>
          <w:tcPr>
            <w:tcW w:w="842" w:type="pct"/>
          </w:tcPr>
          <w:p w14:paraId="4931E6E8" w14:textId="37D31E65" w:rsidR="00C305C6" w:rsidRDefault="00C305C6" w:rsidP="00C305C6">
            <w:pPr>
              <w:jc w:val="center"/>
              <w:rPr>
                <w:rFonts w:cs="Times New Roman"/>
              </w:rPr>
            </w:pPr>
            <w:r>
              <w:rPr>
                <w:rFonts w:cs="Times New Roman"/>
              </w:rPr>
              <w:t>TIF dekanatas</w:t>
            </w:r>
          </w:p>
          <w:p w14:paraId="78EC997F" w14:textId="77777777" w:rsidR="005F3F23" w:rsidRDefault="005F3F23" w:rsidP="00C305C6">
            <w:pPr>
              <w:spacing w:before="120"/>
              <w:jc w:val="center"/>
              <w:rPr>
                <w:rFonts w:cs="Times New Roman"/>
              </w:rPr>
            </w:pPr>
            <w:r>
              <w:rPr>
                <w:rFonts w:cs="Times New Roman"/>
              </w:rPr>
              <w:t>I studijų pakopos SPK (S. Pukalskas)</w:t>
            </w:r>
          </w:p>
          <w:p w14:paraId="7AFFDA22" w14:textId="27C994E0" w:rsidR="00C305C6" w:rsidRPr="000F069E" w:rsidRDefault="00C305C6" w:rsidP="005F3F23">
            <w:pPr>
              <w:spacing w:before="120"/>
              <w:jc w:val="center"/>
              <w:rPr>
                <w:rFonts w:cs="Times New Roman"/>
              </w:rPr>
            </w:pPr>
            <w:r>
              <w:rPr>
                <w:rFonts w:cs="Times New Roman"/>
              </w:rPr>
              <w:t>II studijų pakopos SPK (M. Bogdevičius)</w:t>
            </w:r>
          </w:p>
        </w:tc>
        <w:tc>
          <w:tcPr>
            <w:tcW w:w="372" w:type="pct"/>
          </w:tcPr>
          <w:p w14:paraId="4460393F" w14:textId="77777777" w:rsidR="00C305C6" w:rsidRPr="000F069E" w:rsidRDefault="00C305C6" w:rsidP="00C305C6">
            <w:pPr>
              <w:jc w:val="center"/>
              <w:rPr>
                <w:rFonts w:cs="Times New Roman"/>
              </w:rPr>
            </w:pPr>
          </w:p>
        </w:tc>
      </w:tr>
      <w:tr w:rsidR="00C305C6" w:rsidRPr="000F069E" w14:paraId="450C5F17" w14:textId="77777777" w:rsidTr="003C780C">
        <w:tc>
          <w:tcPr>
            <w:tcW w:w="245" w:type="pct"/>
            <w:vMerge/>
          </w:tcPr>
          <w:p w14:paraId="1766899A" w14:textId="77777777" w:rsidR="00C305C6" w:rsidRDefault="00C305C6" w:rsidP="00C305C6">
            <w:pPr>
              <w:jc w:val="center"/>
              <w:rPr>
                <w:rFonts w:cs="Times New Roman"/>
              </w:rPr>
            </w:pPr>
          </w:p>
        </w:tc>
        <w:tc>
          <w:tcPr>
            <w:tcW w:w="1390" w:type="pct"/>
            <w:shd w:val="clear" w:color="auto" w:fill="FFFF00"/>
          </w:tcPr>
          <w:p w14:paraId="53B98EBE" w14:textId="0A8EF520" w:rsidR="00C305C6" w:rsidRPr="00861F29" w:rsidRDefault="00C305C6" w:rsidP="00C305C6">
            <w:pPr>
              <w:rPr>
                <w:rFonts w:cs="Times New Roman"/>
              </w:rPr>
            </w:pPr>
            <w:r w:rsidRPr="00861F29">
              <w:rPr>
                <w:rFonts w:cs="Times New Roman"/>
              </w:rPr>
              <w:t>Reikėtų toliau stebėti studentų dalyvavimą apklausose, o universitetas turėtų pasverti Universitetui tinkamą savanorišką pobūdį ir aukštesnį dalyvavimo procentą, pasiektą nustatant / paliekant apklausą studentams privalomą</w:t>
            </w:r>
            <w:r>
              <w:rPr>
                <w:rFonts w:cs="Times New Roman"/>
              </w:rPr>
              <w:t>.</w:t>
            </w:r>
          </w:p>
        </w:tc>
        <w:tc>
          <w:tcPr>
            <w:tcW w:w="1403" w:type="pct"/>
            <w:shd w:val="clear" w:color="auto" w:fill="FFFF00"/>
          </w:tcPr>
          <w:p w14:paraId="064EEB96" w14:textId="77777777" w:rsidR="00441A26" w:rsidRPr="00441A26" w:rsidRDefault="00441A26" w:rsidP="00441A26">
            <w:pPr>
              <w:rPr>
                <w:rFonts w:cs="Times New Roman"/>
              </w:rPr>
            </w:pPr>
            <w:r w:rsidRPr="00441A26">
              <w:rPr>
                <w:rFonts w:cs="Times New Roman"/>
              </w:rPr>
              <w:t xml:space="preserve">Užtikrinti dalyvavimo apklausose savanoriškumo principo laikymąsi. </w:t>
            </w:r>
          </w:p>
          <w:p w14:paraId="10A5F8E6" w14:textId="1CB09284" w:rsidR="00C305C6" w:rsidRPr="000F069E" w:rsidRDefault="00441A26" w:rsidP="00441A26">
            <w:pPr>
              <w:rPr>
                <w:rFonts w:cs="Times New Roman"/>
              </w:rPr>
            </w:pPr>
            <w:r w:rsidRPr="00441A26">
              <w:rPr>
                <w:rFonts w:cs="Times New Roman"/>
              </w:rPr>
              <w:t>Optimizuoti anketų klausimų skaičių.</w:t>
            </w:r>
          </w:p>
        </w:tc>
        <w:tc>
          <w:tcPr>
            <w:tcW w:w="748" w:type="pct"/>
            <w:shd w:val="clear" w:color="auto" w:fill="FFFF00"/>
          </w:tcPr>
          <w:p w14:paraId="4A4A5C48" w14:textId="77777777" w:rsidR="00C305C6" w:rsidRPr="000F069E" w:rsidRDefault="00C305C6" w:rsidP="00C305C6">
            <w:pPr>
              <w:jc w:val="center"/>
              <w:rPr>
                <w:rFonts w:cs="Times New Roman"/>
              </w:rPr>
            </w:pPr>
          </w:p>
        </w:tc>
        <w:tc>
          <w:tcPr>
            <w:tcW w:w="842" w:type="pct"/>
            <w:shd w:val="clear" w:color="auto" w:fill="FFFF00"/>
          </w:tcPr>
          <w:p w14:paraId="21C30FFF" w14:textId="35A1012B" w:rsidR="00C305C6" w:rsidRPr="000F069E" w:rsidRDefault="00C305C6" w:rsidP="00C305C6">
            <w:pPr>
              <w:jc w:val="center"/>
              <w:rPr>
                <w:rFonts w:cs="Times New Roman"/>
              </w:rPr>
            </w:pPr>
            <w:r>
              <w:rPr>
                <w:rFonts w:cs="Times New Roman"/>
              </w:rPr>
              <w:t>Studijų direkcija</w:t>
            </w:r>
          </w:p>
        </w:tc>
        <w:tc>
          <w:tcPr>
            <w:tcW w:w="372" w:type="pct"/>
          </w:tcPr>
          <w:p w14:paraId="53497B4F" w14:textId="77777777" w:rsidR="00C305C6" w:rsidRPr="000F069E" w:rsidRDefault="00C305C6" w:rsidP="00C305C6">
            <w:pPr>
              <w:jc w:val="center"/>
              <w:rPr>
                <w:rFonts w:cs="Times New Roman"/>
              </w:rPr>
            </w:pPr>
          </w:p>
        </w:tc>
      </w:tr>
    </w:tbl>
    <w:p w14:paraId="61750EF2" w14:textId="77777777" w:rsidR="00EA159A" w:rsidRDefault="00EA159A" w:rsidP="001E5F09">
      <w:pPr>
        <w:spacing w:after="0" w:line="240" w:lineRule="auto"/>
        <w:rPr>
          <w:rFonts w:cs="Times New Roman"/>
          <w:szCs w:val="24"/>
        </w:rPr>
      </w:pPr>
    </w:p>
    <w:sectPr w:rsidR="00EA159A" w:rsidSect="00097A8A">
      <w:pgSz w:w="16838" w:h="11906" w:orient="landscape"/>
      <w:pgMar w:top="1418" w:right="678" w:bottom="567" w:left="99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899C2" w14:textId="77777777" w:rsidR="00940836" w:rsidRDefault="00940836" w:rsidP="003E627D">
      <w:pPr>
        <w:spacing w:after="0" w:line="240" w:lineRule="auto"/>
      </w:pPr>
      <w:r>
        <w:separator/>
      </w:r>
    </w:p>
  </w:endnote>
  <w:endnote w:type="continuationSeparator" w:id="0">
    <w:p w14:paraId="0DA8DEA1" w14:textId="77777777" w:rsidR="00940836" w:rsidRDefault="00940836" w:rsidP="003E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663D2" w14:textId="77777777" w:rsidR="00940836" w:rsidRDefault="00940836" w:rsidP="003E627D">
      <w:pPr>
        <w:spacing w:after="0" w:line="240" w:lineRule="auto"/>
      </w:pPr>
      <w:r>
        <w:separator/>
      </w:r>
    </w:p>
  </w:footnote>
  <w:footnote w:type="continuationSeparator" w:id="0">
    <w:p w14:paraId="109B033B" w14:textId="77777777" w:rsidR="00940836" w:rsidRDefault="00940836" w:rsidP="003E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36E"/>
    <w:multiLevelType w:val="hybridMultilevel"/>
    <w:tmpl w:val="106EC49A"/>
    <w:lvl w:ilvl="0" w:tplc="AD0E75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4C4C85"/>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2" w15:restartNumberingAfterBreak="0">
    <w:nsid w:val="0E1D2E2D"/>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065A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617CAC"/>
    <w:multiLevelType w:val="hybridMultilevel"/>
    <w:tmpl w:val="55C26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8178CF"/>
    <w:multiLevelType w:val="hybridMultilevel"/>
    <w:tmpl w:val="FB62A9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2BC27F80"/>
    <w:multiLevelType w:val="hybridMultilevel"/>
    <w:tmpl w:val="3A486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4843CA"/>
    <w:multiLevelType w:val="hybridMultilevel"/>
    <w:tmpl w:val="C69A8170"/>
    <w:lvl w:ilvl="0" w:tplc="7C900380">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7092397"/>
    <w:multiLevelType w:val="hybridMultilevel"/>
    <w:tmpl w:val="8A545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A77FB"/>
    <w:multiLevelType w:val="hybridMultilevel"/>
    <w:tmpl w:val="109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E6593"/>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11" w15:restartNumberingAfterBreak="0">
    <w:nsid w:val="420628A5"/>
    <w:multiLevelType w:val="hybridMultilevel"/>
    <w:tmpl w:val="E060686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434B69B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AE458D"/>
    <w:multiLevelType w:val="multilevel"/>
    <w:tmpl w:val="F79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F3B09"/>
    <w:multiLevelType w:val="hybridMultilevel"/>
    <w:tmpl w:val="18B07D7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57E960A0"/>
    <w:multiLevelType w:val="hybridMultilevel"/>
    <w:tmpl w:val="83CE16BA"/>
    <w:lvl w:ilvl="0" w:tplc="8592C290">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A8A7CF7"/>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0"/>
  </w:num>
  <w:num w:numId="5">
    <w:abstractNumId w:val="10"/>
  </w:num>
  <w:num w:numId="6">
    <w:abstractNumId w:val="1"/>
  </w:num>
  <w:num w:numId="7">
    <w:abstractNumId w:val="12"/>
  </w:num>
  <w:num w:numId="8">
    <w:abstractNumId w:val="7"/>
  </w:num>
  <w:num w:numId="9">
    <w:abstractNumId w:val="16"/>
  </w:num>
  <w:num w:numId="10">
    <w:abstractNumId w:val="14"/>
  </w:num>
  <w:num w:numId="11">
    <w:abstractNumId w:val="2"/>
  </w:num>
  <w:num w:numId="12">
    <w:abstractNumId w:val="13"/>
  </w:num>
  <w:num w:numId="13">
    <w:abstractNumId w:val="11"/>
  </w:num>
  <w:num w:numId="14">
    <w:abstractNumId w:val="5"/>
  </w:num>
  <w:num w:numId="15">
    <w:abstractNumId w:val="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89"/>
    <w:rsid w:val="0000497A"/>
    <w:rsid w:val="00014B07"/>
    <w:rsid w:val="0005760D"/>
    <w:rsid w:val="0006484B"/>
    <w:rsid w:val="0006680B"/>
    <w:rsid w:val="00074EE0"/>
    <w:rsid w:val="00085A5A"/>
    <w:rsid w:val="00090B2D"/>
    <w:rsid w:val="000926E4"/>
    <w:rsid w:val="00094D6C"/>
    <w:rsid w:val="00097A8A"/>
    <w:rsid w:val="000A0B31"/>
    <w:rsid w:val="000A22C0"/>
    <w:rsid w:val="000A4104"/>
    <w:rsid w:val="000A61CD"/>
    <w:rsid w:val="000B41C6"/>
    <w:rsid w:val="000C758B"/>
    <w:rsid w:val="000C7AAE"/>
    <w:rsid w:val="000D33C4"/>
    <w:rsid w:val="000F069E"/>
    <w:rsid w:val="001069B1"/>
    <w:rsid w:val="00125C6C"/>
    <w:rsid w:val="00130B1A"/>
    <w:rsid w:val="00133CC2"/>
    <w:rsid w:val="001370BB"/>
    <w:rsid w:val="00137771"/>
    <w:rsid w:val="00143644"/>
    <w:rsid w:val="0014474A"/>
    <w:rsid w:val="00146D3C"/>
    <w:rsid w:val="00155D47"/>
    <w:rsid w:val="00166EC1"/>
    <w:rsid w:val="00170F38"/>
    <w:rsid w:val="00176183"/>
    <w:rsid w:val="001A1347"/>
    <w:rsid w:val="001A6B07"/>
    <w:rsid w:val="001B0747"/>
    <w:rsid w:val="001B5945"/>
    <w:rsid w:val="001B62A6"/>
    <w:rsid w:val="001C18CE"/>
    <w:rsid w:val="001E1F8D"/>
    <w:rsid w:val="001E5F09"/>
    <w:rsid w:val="001E7FAE"/>
    <w:rsid w:val="002078A9"/>
    <w:rsid w:val="00210B09"/>
    <w:rsid w:val="00212DC0"/>
    <w:rsid w:val="002172A2"/>
    <w:rsid w:val="00220732"/>
    <w:rsid w:val="00222F5C"/>
    <w:rsid w:val="00230A38"/>
    <w:rsid w:val="00236558"/>
    <w:rsid w:val="00246CAE"/>
    <w:rsid w:val="00257B2C"/>
    <w:rsid w:val="00270F68"/>
    <w:rsid w:val="00270FC9"/>
    <w:rsid w:val="002737A5"/>
    <w:rsid w:val="00273A30"/>
    <w:rsid w:val="00275646"/>
    <w:rsid w:val="002837B7"/>
    <w:rsid w:val="002875B6"/>
    <w:rsid w:val="002A06B7"/>
    <w:rsid w:val="002B1C8D"/>
    <w:rsid w:val="002B25FA"/>
    <w:rsid w:val="002B73F1"/>
    <w:rsid w:val="002B76C2"/>
    <w:rsid w:val="002C2D28"/>
    <w:rsid w:val="002C7B9E"/>
    <w:rsid w:val="002D11B1"/>
    <w:rsid w:val="002D284C"/>
    <w:rsid w:val="002D5A5D"/>
    <w:rsid w:val="002E3FA0"/>
    <w:rsid w:val="002F4C8A"/>
    <w:rsid w:val="00300FC5"/>
    <w:rsid w:val="00301B47"/>
    <w:rsid w:val="003029F8"/>
    <w:rsid w:val="00314060"/>
    <w:rsid w:val="00326099"/>
    <w:rsid w:val="00327544"/>
    <w:rsid w:val="00333317"/>
    <w:rsid w:val="003619B8"/>
    <w:rsid w:val="00367B89"/>
    <w:rsid w:val="0037126E"/>
    <w:rsid w:val="00371FF4"/>
    <w:rsid w:val="0038304D"/>
    <w:rsid w:val="00386E89"/>
    <w:rsid w:val="003935A7"/>
    <w:rsid w:val="003939C4"/>
    <w:rsid w:val="003A2F81"/>
    <w:rsid w:val="003B1528"/>
    <w:rsid w:val="003C2B7B"/>
    <w:rsid w:val="003C780C"/>
    <w:rsid w:val="003E627D"/>
    <w:rsid w:val="0040435E"/>
    <w:rsid w:val="00405438"/>
    <w:rsid w:val="00416FFF"/>
    <w:rsid w:val="00430C7F"/>
    <w:rsid w:val="00434C5E"/>
    <w:rsid w:val="004364A6"/>
    <w:rsid w:val="00441A26"/>
    <w:rsid w:val="00450E18"/>
    <w:rsid w:val="004565B2"/>
    <w:rsid w:val="00491680"/>
    <w:rsid w:val="00494BF0"/>
    <w:rsid w:val="00496C58"/>
    <w:rsid w:val="004A4EC4"/>
    <w:rsid w:val="004B0511"/>
    <w:rsid w:val="004B2ACD"/>
    <w:rsid w:val="004B4A6A"/>
    <w:rsid w:val="004C0E82"/>
    <w:rsid w:val="004C1A35"/>
    <w:rsid w:val="004D28E2"/>
    <w:rsid w:val="004E3889"/>
    <w:rsid w:val="004F17AB"/>
    <w:rsid w:val="00500A56"/>
    <w:rsid w:val="00510F3B"/>
    <w:rsid w:val="00530740"/>
    <w:rsid w:val="005332AC"/>
    <w:rsid w:val="00534790"/>
    <w:rsid w:val="00541E6E"/>
    <w:rsid w:val="00561FEB"/>
    <w:rsid w:val="00566968"/>
    <w:rsid w:val="00583123"/>
    <w:rsid w:val="005A2DDF"/>
    <w:rsid w:val="005A6E7B"/>
    <w:rsid w:val="005B74E8"/>
    <w:rsid w:val="005C6E1B"/>
    <w:rsid w:val="005F3F23"/>
    <w:rsid w:val="005F737B"/>
    <w:rsid w:val="00600390"/>
    <w:rsid w:val="00602DC0"/>
    <w:rsid w:val="006051A9"/>
    <w:rsid w:val="00621576"/>
    <w:rsid w:val="00623F2F"/>
    <w:rsid w:val="00630080"/>
    <w:rsid w:val="006331C7"/>
    <w:rsid w:val="00635914"/>
    <w:rsid w:val="0065366A"/>
    <w:rsid w:val="00654A0B"/>
    <w:rsid w:val="00666147"/>
    <w:rsid w:val="00667E28"/>
    <w:rsid w:val="00676508"/>
    <w:rsid w:val="00686AA6"/>
    <w:rsid w:val="006A1668"/>
    <w:rsid w:val="006B353E"/>
    <w:rsid w:val="006B3B4E"/>
    <w:rsid w:val="006C5FD7"/>
    <w:rsid w:val="006E0AD9"/>
    <w:rsid w:val="0071133D"/>
    <w:rsid w:val="00713728"/>
    <w:rsid w:val="007152FA"/>
    <w:rsid w:val="00715DB3"/>
    <w:rsid w:val="00725CCE"/>
    <w:rsid w:val="00766C93"/>
    <w:rsid w:val="0077253C"/>
    <w:rsid w:val="0077606B"/>
    <w:rsid w:val="00793E21"/>
    <w:rsid w:val="007A1405"/>
    <w:rsid w:val="007A7083"/>
    <w:rsid w:val="007B4191"/>
    <w:rsid w:val="007B4500"/>
    <w:rsid w:val="007F49C1"/>
    <w:rsid w:val="007F4BF4"/>
    <w:rsid w:val="00812CC1"/>
    <w:rsid w:val="0081546F"/>
    <w:rsid w:val="00816DCA"/>
    <w:rsid w:val="008230BA"/>
    <w:rsid w:val="0082527B"/>
    <w:rsid w:val="00831561"/>
    <w:rsid w:val="00843BC2"/>
    <w:rsid w:val="00843F6B"/>
    <w:rsid w:val="0086180C"/>
    <w:rsid w:val="00861F29"/>
    <w:rsid w:val="0088149D"/>
    <w:rsid w:val="008851DE"/>
    <w:rsid w:val="00886134"/>
    <w:rsid w:val="008878E2"/>
    <w:rsid w:val="008A7984"/>
    <w:rsid w:val="008A7B57"/>
    <w:rsid w:val="008C2633"/>
    <w:rsid w:val="008D103B"/>
    <w:rsid w:val="008D2237"/>
    <w:rsid w:val="008E7792"/>
    <w:rsid w:val="008F5E1E"/>
    <w:rsid w:val="00912688"/>
    <w:rsid w:val="0091332D"/>
    <w:rsid w:val="00930A62"/>
    <w:rsid w:val="009340CB"/>
    <w:rsid w:val="00940836"/>
    <w:rsid w:val="00940A0D"/>
    <w:rsid w:val="009442D6"/>
    <w:rsid w:val="0094719D"/>
    <w:rsid w:val="009600ED"/>
    <w:rsid w:val="009663DD"/>
    <w:rsid w:val="00976D22"/>
    <w:rsid w:val="00980CFC"/>
    <w:rsid w:val="00984D2F"/>
    <w:rsid w:val="0099245C"/>
    <w:rsid w:val="009A2A1A"/>
    <w:rsid w:val="009A2D50"/>
    <w:rsid w:val="009B5750"/>
    <w:rsid w:val="009D4F0E"/>
    <w:rsid w:val="009D7E2E"/>
    <w:rsid w:val="009E5238"/>
    <w:rsid w:val="009E54F6"/>
    <w:rsid w:val="009F0CAB"/>
    <w:rsid w:val="00A02DB5"/>
    <w:rsid w:val="00A030CD"/>
    <w:rsid w:val="00A0468C"/>
    <w:rsid w:val="00A229F1"/>
    <w:rsid w:val="00A27245"/>
    <w:rsid w:val="00A27865"/>
    <w:rsid w:val="00A30747"/>
    <w:rsid w:val="00A40CCF"/>
    <w:rsid w:val="00A41750"/>
    <w:rsid w:val="00A44201"/>
    <w:rsid w:val="00A52714"/>
    <w:rsid w:val="00A54E9A"/>
    <w:rsid w:val="00A648AE"/>
    <w:rsid w:val="00A973D0"/>
    <w:rsid w:val="00AB2629"/>
    <w:rsid w:val="00AC54FC"/>
    <w:rsid w:val="00AC5FB7"/>
    <w:rsid w:val="00AC75BA"/>
    <w:rsid w:val="00AD5509"/>
    <w:rsid w:val="00AF1C21"/>
    <w:rsid w:val="00B20B6C"/>
    <w:rsid w:val="00B23647"/>
    <w:rsid w:val="00B25A93"/>
    <w:rsid w:val="00B51200"/>
    <w:rsid w:val="00B64CE8"/>
    <w:rsid w:val="00B6670B"/>
    <w:rsid w:val="00B67C8C"/>
    <w:rsid w:val="00B76318"/>
    <w:rsid w:val="00B95C2F"/>
    <w:rsid w:val="00BA4479"/>
    <w:rsid w:val="00BB1ADF"/>
    <w:rsid w:val="00BB23E8"/>
    <w:rsid w:val="00BC62D1"/>
    <w:rsid w:val="00BD14BE"/>
    <w:rsid w:val="00BE0688"/>
    <w:rsid w:val="00BF2D9B"/>
    <w:rsid w:val="00C017F9"/>
    <w:rsid w:val="00C06AC3"/>
    <w:rsid w:val="00C16B71"/>
    <w:rsid w:val="00C305C6"/>
    <w:rsid w:val="00C40CB7"/>
    <w:rsid w:val="00C55B1C"/>
    <w:rsid w:val="00C863C6"/>
    <w:rsid w:val="00C86E09"/>
    <w:rsid w:val="00CC3936"/>
    <w:rsid w:val="00CD6771"/>
    <w:rsid w:val="00CE41B5"/>
    <w:rsid w:val="00CE53C1"/>
    <w:rsid w:val="00CE5E91"/>
    <w:rsid w:val="00CF0513"/>
    <w:rsid w:val="00CF4FC9"/>
    <w:rsid w:val="00D00B85"/>
    <w:rsid w:val="00D1291B"/>
    <w:rsid w:val="00D138D0"/>
    <w:rsid w:val="00D15B64"/>
    <w:rsid w:val="00D23FCA"/>
    <w:rsid w:val="00D24B0C"/>
    <w:rsid w:val="00D321C6"/>
    <w:rsid w:val="00D339F0"/>
    <w:rsid w:val="00D35272"/>
    <w:rsid w:val="00D37D16"/>
    <w:rsid w:val="00D51B49"/>
    <w:rsid w:val="00D756C7"/>
    <w:rsid w:val="00D94762"/>
    <w:rsid w:val="00DA301C"/>
    <w:rsid w:val="00DA7B8F"/>
    <w:rsid w:val="00DB08A3"/>
    <w:rsid w:val="00DC1350"/>
    <w:rsid w:val="00DC1892"/>
    <w:rsid w:val="00DE0FDD"/>
    <w:rsid w:val="00DF240B"/>
    <w:rsid w:val="00DF51C9"/>
    <w:rsid w:val="00E03992"/>
    <w:rsid w:val="00E11D1B"/>
    <w:rsid w:val="00E13058"/>
    <w:rsid w:val="00E13DD9"/>
    <w:rsid w:val="00E155CE"/>
    <w:rsid w:val="00E26759"/>
    <w:rsid w:val="00E26B84"/>
    <w:rsid w:val="00E352CE"/>
    <w:rsid w:val="00E41A05"/>
    <w:rsid w:val="00E555F0"/>
    <w:rsid w:val="00E76054"/>
    <w:rsid w:val="00E829E9"/>
    <w:rsid w:val="00E908D9"/>
    <w:rsid w:val="00E93489"/>
    <w:rsid w:val="00EA159A"/>
    <w:rsid w:val="00EC02C6"/>
    <w:rsid w:val="00EC7BCD"/>
    <w:rsid w:val="00ED7117"/>
    <w:rsid w:val="00EF0374"/>
    <w:rsid w:val="00EF5F1A"/>
    <w:rsid w:val="00F2417E"/>
    <w:rsid w:val="00F25B6E"/>
    <w:rsid w:val="00F37EF0"/>
    <w:rsid w:val="00F42420"/>
    <w:rsid w:val="00F548A4"/>
    <w:rsid w:val="00F561C9"/>
    <w:rsid w:val="00F729C5"/>
    <w:rsid w:val="00F85937"/>
    <w:rsid w:val="00F875EC"/>
    <w:rsid w:val="00F877E3"/>
    <w:rsid w:val="00F93BCA"/>
    <w:rsid w:val="00F93F2D"/>
    <w:rsid w:val="00FA4DE5"/>
    <w:rsid w:val="00FB6CB0"/>
    <w:rsid w:val="00FD1B8A"/>
    <w:rsid w:val="00FD1D20"/>
    <w:rsid w:val="00FE5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6CDD"/>
  <w15:chartTrackingRefBased/>
  <w15:docId w15:val="{A6FDF205-2168-4152-BEF1-5BEB186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62"/>
    <w:rPr>
      <w:rFonts w:ascii="Times New Roman" w:hAnsi="Times New Roman"/>
      <w:sz w:val="24"/>
    </w:rPr>
  </w:style>
  <w:style w:type="paragraph" w:styleId="Heading1">
    <w:name w:val="heading 1"/>
    <w:basedOn w:val="Normal"/>
    <w:link w:val="Heading1Char"/>
    <w:uiPriority w:val="9"/>
    <w:qFormat/>
    <w:rsid w:val="004C1A35"/>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09"/>
    <w:pPr>
      <w:ind w:left="720"/>
      <w:contextualSpacing/>
    </w:pPr>
  </w:style>
  <w:style w:type="paragraph" w:customStyle="1" w:styleId="Hyperlink1">
    <w:name w:val="Hyperlink1"/>
    <w:rsid w:val="001E5F09"/>
    <w:pPr>
      <w:spacing w:after="0" w:line="240" w:lineRule="auto"/>
      <w:ind w:firstLine="312"/>
      <w:jc w:val="both"/>
    </w:pPr>
    <w:rPr>
      <w:rFonts w:ascii="TimesLT" w:eastAsia="Times New Roman" w:hAnsi="TimesLT" w:cs="Times New Roman"/>
      <w:sz w:val="20"/>
      <w:szCs w:val="20"/>
      <w:lang w:val="en-GB"/>
    </w:rPr>
  </w:style>
  <w:style w:type="paragraph" w:customStyle="1" w:styleId="Default">
    <w:name w:val="Default"/>
    <w:rsid w:val="001E5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E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5FA"/>
    <w:pPr>
      <w:spacing w:before="100" w:beforeAutospacing="1" w:after="100" w:afterAutospacing="1" w:line="240" w:lineRule="auto"/>
    </w:pPr>
    <w:rPr>
      <w:rFonts w:eastAsia="Times New Roman" w:cs="Times New Roman"/>
      <w:szCs w:val="24"/>
      <w:lang w:eastAsia="lt-LT"/>
    </w:rPr>
  </w:style>
  <w:style w:type="paragraph" w:styleId="Header">
    <w:name w:val="header"/>
    <w:aliases w:val="Char"/>
    <w:basedOn w:val="Normal"/>
    <w:link w:val="HeaderChar"/>
    <w:unhideWhenUsed/>
    <w:rsid w:val="003E627D"/>
    <w:pPr>
      <w:tabs>
        <w:tab w:val="center" w:pos="4819"/>
        <w:tab w:val="right" w:pos="9638"/>
      </w:tabs>
      <w:spacing w:after="0" w:line="240" w:lineRule="auto"/>
    </w:pPr>
  </w:style>
  <w:style w:type="character" w:customStyle="1" w:styleId="HeaderChar">
    <w:name w:val="Header Char"/>
    <w:aliases w:val="Char Char"/>
    <w:basedOn w:val="DefaultParagraphFont"/>
    <w:link w:val="Header"/>
    <w:rsid w:val="003E627D"/>
  </w:style>
  <w:style w:type="paragraph" w:styleId="Footer">
    <w:name w:val="footer"/>
    <w:basedOn w:val="Normal"/>
    <w:link w:val="FooterChar"/>
    <w:uiPriority w:val="99"/>
    <w:unhideWhenUsed/>
    <w:rsid w:val="003E62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E627D"/>
  </w:style>
  <w:style w:type="character" w:styleId="Hyperlink">
    <w:name w:val="Hyperlink"/>
    <w:basedOn w:val="DefaultParagraphFont"/>
    <w:uiPriority w:val="99"/>
    <w:unhideWhenUsed/>
    <w:rsid w:val="00FA4DE5"/>
    <w:rPr>
      <w:color w:val="0000FF"/>
      <w:u w:val="single"/>
    </w:rPr>
  </w:style>
  <w:style w:type="character" w:styleId="CommentReference">
    <w:name w:val="annotation reference"/>
    <w:basedOn w:val="DefaultParagraphFont"/>
    <w:uiPriority w:val="99"/>
    <w:semiHidden/>
    <w:unhideWhenUsed/>
    <w:rsid w:val="00D94762"/>
    <w:rPr>
      <w:sz w:val="16"/>
      <w:szCs w:val="16"/>
    </w:rPr>
  </w:style>
  <w:style w:type="paragraph" w:styleId="CommentText">
    <w:name w:val="annotation text"/>
    <w:basedOn w:val="Normal"/>
    <w:link w:val="CommentTextChar"/>
    <w:uiPriority w:val="99"/>
    <w:semiHidden/>
    <w:unhideWhenUsed/>
    <w:rsid w:val="00D94762"/>
    <w:pPr>
      <w:spacing w:line="240" w:lineRule="auto"/>
    </w:pPr>
    <w:rPr>
      <w:sz w:val="20"/>
      <w:szCs w:val="20"/>
    </w:rPr>
  </w:style>
  <w:style w:type="character" w:customStyle="1" w:styleId="CommentTextChar">
    <w:name w:val="Comment Text Char"/>
    <w:basedOn w:val="DefaultParagraphFont"/>
    <w:link w:val="CommentText"/>
    <w:uiPriority w:val="99"/>
    <w:semiHidden/>
    <w:rsid w:val="00D947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4762"/>
    <w:rPr>
      <w:b/>
      <w:bCs/>
    </w:rPr>
  </w:style>
  <w:style w:type="character" w:customStyle="1" w:styleId="CommentSubjectChar">
    <w:name w:val="Comment Subject Char"/>
    <w:basedOn w:val="CommentTextChar"/>
    <w:link w:val="CommentSubject"/>
    <w:uiPriority w:val="99"/>
    <w:semiHidden/>
    <w:rsid w:val="00D94762"/>
    <w:rPr>
      <w:rFonts w:ascii="Times New Roman" w:hAnsi="Times New Roman"/>
      <w:b/>
      <w:bCs/>
      <w:sz w:val="20"/>
      <w:szCs w:val="20"/>
    </w:rPr>
  </w:style>
  <w:style w:type="paragraph" w:styleId="BalloonText">
    <w:name w:val="Balloon Text"/>
    <w:basedOn w:val="Normal"/>
    <w:link w:val="BalloonTextChar"/>
    <w:uiPriority w:val="99"/>
    <w:semiHidden/>
    <w:unhideWhenUsed/>
    <w:rsid w:val="00D9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62"/>
    <w:rPr>
      <w:rFonts w:ascii="Segoe UI" w:hAnsi="Segoe UI" w:cs="Segoe UI"/>
      <w:sz w:val="18"/>
      <w:szCs w:val="18"/>
    </w:rPr>
  </w:style>
  <w:style w:type="character" w:customStyle="1" w:styleId="Heading1Char">
    <w:name w:val="Heading 1 Char"/>
    <w:basedOn w:val="DefaultParagraphFont"/>
    <w:link w:val="Heading1"/>
    <w:uiPriority w:val="9"/>
    <w:rsid w:val="004C1A35"/>
    <w:rPr>
      <w:rFonts w:ascii="Times New Roman" w:eastAsia="Times New Roman" w:hAnsi="Times New Roman" w:cs="Times New Roman"/>
      <w:b/>
      <w:bCs/>
      <w:kern w:val="36"/>
      <w:sz w:val="48"/>
      <w:szCs w:val="48"/>
      <w:lang w:val="en-US"/>
    </w:rPr>
  </w:style>
  <w:style w:type="character" w:customStyle="1" w:styleId="52je">
    <w:name w:val="_52je"/>
    <w:basedOn w:val="DefaultParagraphFont"/>
    <w:rsid w:val="004C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3683">
      <w:bodyDiv w:val="1"/>
      <w:marLeft w:val="0"/>
      <w:marRight w:val="0"/>
      <w:marTop w:val="0"/>
      <w:marBottom w:val="0"/>
      <w:divBdr>
        <w:top w:val="none" w:sz="0" w:space="0" w:color="auto"/>
        <w:left w:val="none" w:sz="0" w:space="0" w:color="auto"/>
        <w:bottom w:val="none" w:sz="0" w:space="0" w:color="auto"/>
        <w:right w:val="none" w:sz="0" w:space="0" w:color="auto"/>
      </w:divBdr>
    </w:div>
    <w:div w:id="457575410">
      <w:bodyDiv w:val="1"/>
      <w:marLeft w:val="0"/>
      <w:marRight w:val="0"/>
      <w:marTop w:val="0"/>
      <w:marBottom w:val="0"/>
      <w:divBdr>
        <w:top w:val="none" w:sz="0" w:space="0" w:color="auto"/>
        <w:left w:val="none" w:sz="0" w:space="0" w:color="auto"/>
        <w:bottom w:val="none" w:sz="0" w:space="0" w:color="auto"/>
        <w:right w:val="none" w:sz="0" w:space="0" w:color="auto"/>
      </w:divBdr>
    </w:div>
    <w:div w:id="1018124262">
      <w:bodyDiv w:val="1"/>
      <w:marLeft w:val="0"/>
      <w:marRight w:val="0"/>
      <w:marTop w:val="0"/>
      <w:marBottom w:val="0"/>
      <w:divBdr>
        <w:top w:val="none" w:sz="0" w:space="0" w:color="auto"/>
        <w:left w:val="none" w:sz="0" w:space="0" w:color="auto"/>
        <w:bottom w:val="none" w:sz="0" w:space="0" w:color="auto"/>
        <w:right w:val="none" w:sz="0" w:space="0" w:color="auto"/>
      </w:divBdr>
      <w:divsChild>
        <w:div w:id="242960299">
          <w:marLeft w:val="0"/>
          <w:marRight w:val="0"/>
          <w:marTop w:val="0"/>
          <w:marBottom w:val="0"/>
          <w:divBdr>
            <w:top w:val="none" w:sz="0" w:space="0" w:color="auto"/>
            <w:left w:val="none" w:sz="0" w:space="0" w:color="auto"/>
            <w:bottom w:val="none" w:sz="0" w:space="0" w:color="auto"/>
            <w:right w:val="none" w:sz="0" w:space="0" w:color="auto"/>
          </w:divBdr>
        </w:div>
        <w:div w:id="77599010">
          <w:marLeft w:val="0"/>
          <w:marRight w:val="0"/>
          <w:marTop w:val="0"/>
          <w:marBottom w:val="0"/>
          <w:divBdr>
            <w:top w:val="none" w:sz="0" w:space="0" w:color="auto"/>
            <w:left w:val="none" w:sz="0" w:space="0" w:color="auto"/>
            <w:bottom w:val="none" w:sz="0" w:space="0" w:color="auto"/>
            <w:right w:val="none" w:sz="0" w:space="0" w:color="auto"/>
          </w:divBdr>
        </w:div>
        <w:div w:id="1134061207">
          <w:marLeft w:val="0"/>
          <w:marRight w:val="0"/>
          <w:marTop w:val="0"/>
          <w:marBottom w:val="0"/>
          <w:divBdr>
            <w:top w:val="none" w:sz="0" w:space="0" w:color="auto"/>
            <w:left w:val="none" w:sz="0" w:space="0" w:color="auto"/>
            <w:bottom w:val="none" w:sz="0" w:space="0" w:color="auto"/>
            <w:right w:val="none" w:sz="0" w:space="0" w:color="auto"/>
          </w:divBdr>
        </w:div>
        <w:div w:id="1265192131">
          <w:marLeft w:val="0"/>
          <w:marRight w:val="0"/>
          <w:marTop w:val="0"/>
          <w:marBottom w:val="0"/>
          <w:divBdr>
            <w:top w:val="none" w:sz="0" w:space="0" w:color="auto"/>
            <w:left w:val="none" w:sz="0" w:space="0" w:color="auto"/>
            <w:bottom w:val="none" w:sz="0" w:space="0" w:color="auto"/>
            <w:right w:val="none" w:sz="0" w:space="0" w:color="auto"/>
          </w:divBdr>
        </w:div>
        <w:div w:id="1651713809">
          <w:marLeft w:val="0"/>
          <w:marRight w:val="0"/>
          <w:marTop w:val="0"/>
          <w:marBottom w:val="0"/>
          <w:divBdr>
            <w:top w:val="none" w:sz="0" w:space="0" w:color="auto"/>
            <w:left w:val="none" w:sz="0" w:space="0" w:color="auto"/>
            <w:bottom w:val="none" w:sz="0" w:space="0" w:color="auto"/>
            <w:right w:val="none" w:sz="0" w:space="0" w:color="auto"/>
          </w:divBdr>
        </w:div>
        <w:div w:id="1426151629">
          <w:marLeft w:val="0"/>
          <w:marRight w:val="0"/>
          <w:marTop w:val="0"/>
          <w:marBottom w:val="0"/>
          <w:divBdr>
            <w:top w:val="none" w:sz="0" w:space="0" w:color="auto"/>
            <w:left w:val="none" w:sz="0" w:space="0" w:color="auto"/>
            <w:bottom w:val="none" w:sz="0" w:space="0" w:color="auto"/>
            <w:right w:val="none" w:sz="0" w:space="0" w:color="auto"/>
          </w:divBdr>
        </w:div>
        <w:div w:id="1578050027">
          <w:marLeft w:val="0"/>
          <w:marRight w:val="0"/>
          <w:marTop w:val="0"/>
          <w:marBottom w:val="0"/>
          <w:divBdr>
            <w:top w:val="none" w:sz="0" w:space="0" w:color="auto"/>
            <w:left w:val="none" w:sz="0" w:space="0" w:color="auto"/>
            <w:bottom w:val="none" w:sz="0" w:space="0" w:color="auto"/>
            <w:right w:val="none" w:sz="0" w:space="0" w:color="auto"/>
          </w:divBdr>
        </w:div>
      </w:divsChild>
    </w:div>
    <w:div w:id="1229995665">
      <w:bodyDiv w:val="1"/>
      <w:marLeft w:val="0"/>
      <w:marRight w:val="0"/>
      <w:marTop w:val="0"/>
      <w:marBottom w:val="0"/>
      <w:divBdr>
        <w:top w:val="none" w:sz="0" w:space="0" w:color="auto"/>
        <w:left w:val="none" w:sz="0" w:space="0" w:color="auto"/>
        <w:bottom w:val="none" w:sz="0" w:space="0" w:color="auto"/>
        <w:right w:val="none" w:sz="0" w:space="0" w:color="auto"/>
      </w:divBdr>
    </w:div>
    <w:div w:id="2105227960">
      <w:bodyDiv w:val="1"/>
      <w:marLeft w:val="0"/>
      <w:marRight w:val="0"/>
      <w:marTop w:val="0"/>
      <w:marBottom w:val="0"/>
      <w:divBdr>
        <w:top w:val="none" w:sz="0" w:space="0" w:color="auto"/>
        <w:left w:val="none" w:sz="0" w:space="0" w:color="auto"/>
        <w:bottom w:val="none" w:sz="0" w:space="0" w:color="auto"/>
        <w:right w:val="none" w:sz="0" w:space="0" w:color="auto"/>
      </w:divBdr>
    </w:div>
    <w:div w:id="21164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818C-E38C-49F4-AFAB-8CEA8A06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5492</Words>
  <Characters>3132</Characters>
  <Application>Microsoft Office Word</Application>
  <DocSecurity>4</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Navickienė</dc:creator>
  <cp:keywords/>
  <dc:description/>
  <cp:lastModifiedBy>Giedrutė Mikaločienė</cp:lastModifiedBy>
  <cp:revision>2</cp:revision>
  <cp:lastPrinted>2022-01-14T11:11:00Z</cp:lastPrinted>
  <dcterms:created xsi:type="dcterms:W3CDTF">2022-02-02T07:45:00Z</dcterms:created>
  <dcterms:modified xsi:type="dcterms:W3CDTF">2022-02-02T07:45:00Z</dcterms:modified>
</cp:coreProperties>
</file>